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Ex3.xml" ContentType="application/vnd.ms-office.chartex+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Ex4.xml" ContentType="application/vnd.ms-office.chartex+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78291" w14:textId="5D757357" w:rsidR="00DB2149" w:rsidRPr="00955DF7" w:rsidRDefault="00C70AC7" w:rsidP="00DB2149">
      <w:pPr>
        <w:jc w:val="center"/>
        <w:rPr>
          <w:rFonts w:ascii="Times New Roman" w:hAnsi="Times New Roman" w:cs="Times New Roman"/>
          <w:sz w:val="24"/>
          <w:szCs w:val="24"/>
        </w:rPr>
      </w:pPr>
      <w:bookmarkStart w:id="0" w:name="_Hlk144454122"/>
      <w:r w:rsidRPr="00955DF7">
        <w:rPr>
          <w:rFonts w:ascii="Calibri" w:eastAsia="Calibri" w:hAnsi="Calibri" w:cs="Times New Roman"/>
          <w:noProof/>
        </w:rPr>
        <w:drawing>
          <wp:anchor distT="0" distB="0" distL="114300" distR="114300" simplePos="0" relativeHeight="251667456" behindDoc="0" locked="0" layoutInCell="1" allowOverlap="1" wp14:anchorId="31BD5C92" wp14:editId="37104ED8">
            <wp:simplePos x="0" y="0"/>
            <wp:positionH relativeFrom="column">
              <wp:posOffset>292100</wp:posOffset>
            </wp:positionH>
            <wp:positionV relativeFrom="paragraph">
              <wp:posOffset>-146050</wp:posOffset>
            </wp:positionV>
            <wp:extent cx="1854835" cy="1910715"/>
            <wp:effectExtent l="0" t="0" r="0" b="0"/>
            <wp:wrapNone/>
            <wp:docPr id="1414140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835" cy="1910715"/>
                    </a:xfrm>
                    <a:prstGeom prst="rect">
                      <a:avLst/>
                    </a:prstGeom>
                    <a:noFill/>
                  </pic:spPr>
                </pic:pic>
              </a:graphicData>
            </a:graphic>
            <wp14:sizeRelH relativeFrom="margin">
              <wp14:pctWidth>0</wp14:pctWidth>
            </wp14:sizeRelH>
            <wp14:sizeRelV relativeFrom="margin">
              <wp14:pctHeight>0</wp14:pctHeight>
            </wp14:sizeRelV>
          </wp:anchor>
        </w:drawing>
      </w:r>
      <w:r w:rsidR="009B29E9" w:rsidRPr="009B29E9">
        <w:rPr>
          <w:noProof/>
          <w:lang/>
        </w:rPr>
        <w:drawing>
          <wp:anchor distT="0" distB="0" distL="114300" distR="114300" simplePos="0" relativeHeight="251675648" behindDoc="1" locked="0" layoutInCell="1" allowOverlap="1" wp14:anchorId="6A9E2B9E" wp14:editId="18AE35ED">
            <wp:simplePos x="0" y="0"/>
            <wp:positionH relativeFrom="column">
              <wp:posOffset>2298700</wp:posOffset>
            </wp:positionH>
            <wp:positionV relativeFrom="paragraph">
              <wp:posOffset>-914400</wp:posOffset>
            </wp:positionV>
            <wp:extent cx="6800850" cy="7708900"/>
            <wp:effectExtent l="0" t="0" r="0" b="6350"/>
            <wp:wrapNone/>
            <wp:docPr id="195846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0850" cy="77089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imes New Roman" w:hAnsi="Times New Roman" w:cs="Times New Roman"/>
          <w:sz w:val="24"/>
          <w:szCs w:val="24"/>
        </w:rPr>
        <w:id w:val="-812411197"/>
        <w:docPartObj>
          <w:docPartGallery w:val="Cover Pages"/>
          <w:docPartUnique/>
        </w:docPartObj>
      </w:sdtPr>
      <w:sdtContent>
        <w:p w14:paraId="50FC4136" w14:textId="56F49E3A" w:rsidR="009B29E9" w:rsidRPr="009B29E9" w:rsidRDefault="009B29E9" w:rsidP="009B29E9">
          <w:pPr>
            <w:jc w:val="center"/>
            <w:rPr>
              <w:lang/>
            </w:rPr>
          </w:pPr>
        </w:p>
        <w:p w14:paraId="248DAD4F" w14:textId="45762671" w:rsidR="00DB2149" w:rsidRPr="00955DF7" w:rsidRDefault="00C70AC7" w:rsidP="00490D3C">
          <w:pPr>
            <w:jc w:val="center"/>
            <w:rPr>
              <w:rFonts w:ascii="Times New Roman" w:eastAsia="Calibri" w:hAnsi="Times New Roman" w:cs="Times New Roman"/>
              <w:b/>
              <w:bCs/>
              <w:sz w:val="36"/>
              <w:szCs w:val="36"/>
            </w:rPr>
          </w:pPr>
          <w:r w:rsidRPr="00955DF7">
            <w:rPr>
              <w:rFonts w:ascii="Calibri" w:eastAsia="Calibri" w:hAnsi="Calibri" w:cs="Times New Roman"/>
              <w:i/>
              <w:iCs/>
              <w:noProof/>
            </w:rPr>
            <mc:AlternateContent>
              <mc:Choice Requires="wps">
                <w:drawing>
                  <wp:anchor distT="45720" distB="45720" distL="114300" distR="114300" simplePos="0" relativeHeight="251671552" behindDoc="0" locked="0" layoutInCell="1" allowOverlap="1" wp14:anchorId="0C73B044" wp14:editId="67E256DC">
                    <wp:simplePos x="0" y="0"/>
                    <wp:positionH relativeFrom="page">
                      <wp:posOffset>101600</wp:posOffset>
                    </wp:positionH>
                    <wp:positionV relativeFrom="paragraph">
                      <wp:posOffset>1586865</wp:posOffset>
                    </wp:positionV>
                    <wp:extent cx="3067050" cy="4641850"/>
                    <wp:effectExtent l="0" t="0" r="0" b="6350"/>
                    <wp:wrapNone/>
                    <wp:docPr id="848365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641850"/>
                            </a:xfrm>
                            <a:prstGeom prst="rect">
                              <a:avLst/>
                            </a:prstGeom>
                            <a:noFill/>
                            <a:ln w="9525">
                              <a:noFill/>
                              <a:miter lim="800000"/>
                              <a:headEnd/>
                              <a:tailEnd/>
                            </a:ln>
                          </wps:spPr>
                          <wps:txbx>
                            <w:txbxContent>
                              <w:p w14:paraId="7AA73635" w14:textId="5619999B" w:rsidR="00490D3C" w:rsidRPr="00490D3C" w:rsidRDefault="001E0317" w:rsidP="00490D3C">
                                <w:pPr>
                                  <w:contextualSpacing/>
                                  <w:jc w:val="center"/>
                                  <w:rPr>
                                    <w:rFonts w:asciiTheme="majorHAnsi" w:hAnsiTheme="majorHAnsi" w:cstheme="majorHAnsi"/>
                                    <w:b/>
                                    <w:color w:val="181818"/>
                                    <w:sz w:val="90"/>
                                    <w:szCs w:val="90"/>
                                  </w:rPr>
                                </w:pPr>
                                <w:r>
                                  <w:rPr>
                                    <w:rFonts w:asciiTheme="majorHAnsi" w:hAnsiTheme="majorHAnsi" w:cstheme="majorHAnsi"/>
                                    <w:b/>
                                    <w:color w:val="181818"/>
                                    <w:sz w:val="90"/>
                                    <w:szCs w:val="90"/>
                                  </w:rPr>
                                  <w:t xml:space="preserve">Saint Lucia </w:t>
                                </w:r>
                                <w:r w:rsidR="00490D3C" w:rsidRPr="00490D3C">
                                  <w:rPr>
                                    <w:rFonts w:asciiTheme="majorHAnsi" w:hAnsiTheme="majorHAnsi" w:cstheme="majorHAnsi"/>
                                    <w:b/>
                                    <w:color w:val="181818"/>
                                    <w:sz w:val="90"/>
                                    <w:szCs w:val="90"/>
                                  </w:rPr>
                                  <w:t>2025</w:t>
                                </w:r>
                              </w:p>
                              <w:p w14:paraId="420348EF" w14:textId="46398ACE" w:rsidR="00C70AC7" w:rsidRDefault="00490D3C" w:rsidP="00490D3C">
                                <w:pPr>
                                  <w:contextualSpacing/>
                                  <w:jc w:val="center"/>
                                  <w:rPr>
                                    <w:rFonts w:ascii="Times New Roman" w:hAnsi="Times New Roman" w:cs="Times New Roman"/>
                                    <w:color w:val="C00000"/>
                                    <w:sz w:val="24"/>
                                    <w:szCs w:val="24"/>
                                  </w:rPr>
                                </w:pPr>
                                <w:r w:rsidRPr="00490D3C">
                                  <w:rPr>
                                    <w:rFonts w:asciiTheme="majorHAnsi" w:hAnsiTheme="majorHAnsi" w:cstheme="majorHAnsi"/>
                                    <w:b/>
                                    <w:bCs/>
                                    <w:sz w:val="72"/>
                                    <w:szCs w:val="72"/>
                                  </w:rPr>
                                  <w:t>Labour Force Survey</w:t>
                                </w:r>
                                <w:r w:rsidR="001E0317">
                                  <w:rPr>
                                    <w:rFonts w:asciiTheme="majorHAnsi" w:hAnsiTheme="majorHAnsi" w:cstheme="majorHAnsi"/>
                                    <w:b/>
                                    <w:bCs/>
                                    <w:sz w:val="72"/>
                                    <w:szCs w:val="72"/>
                                  </w:rPr>
                                  <w:t xml:space="preserve"> Snapshot</w:t>
                                </w:r>
                              </w:p>
                              <w:p w14:paraId="2FA8BFF6" w14:textId="77777777" w:rsidR="00C70AC7" w:rsidRDefault="00C70AC7" w:rsidP="00490D3C">
                                <w:pPr>
                                  <w:contextualSpacing/>
                                  <w:jc w:val="center"/>
                                  <w:rPr>
                                    <w:rFonts w:ascii="Times New Roman" w:hAnsi="Times New Roman" w:cs="Times New Roman"/>
                                    <w:color w:val="C00000"/>
                                    <w:sz w:val="24"/>
                                    <w:szCs w:val="24"/>
                                  </w:rPr>
                                </w:pPr>
                              </w:p>
                              <w:p w14:paraId="5FB52A94" w14:textId="77777777" w:rsidR="00C70AC7" w:rsidRDefault="00C70AC7" w:rsidP="00490D3C">
                                <w:pPr>
                                  <w:contextualSpacing/>
                                  <w:jc w:val="center"/>
                                  <w:rPr>
                                    <w:rFonts w:ascii="Times New Roman" w:hAnsi="Times New Roman" w:cs="Times New Roman"/>
                                    <w:color w:val="C00000"/>
                                    <w:sz w:val="24"/>
                                    <w:szCs w:val="24"/>
                                  </w:rPr>
                                </w:pPr>
                              </w:p>
                              <w:p w14:paraId="6771F699" w14:textId="77777777" w:rsidR="00C70AC7" w:rsidRDefault="00C70AC7" w:rsidP="00490D3C">
                                <w:pPr>
                                  <w:contextualSpacing/>
                                  <w:jc w:val="center"/>
                                  <w:rPr>
                                    <w:rFonts w:ascii="Times New Roman" w:hAnsi="Times New Roman" w:cs="Times New Roman"/>
                                    <w:color w:val="C00000"/>
                                    <w:sz w:val="24"/>
                                    <w:szCs w:val="24"/>
                                  </w:rPr>
                                </w:pPr>
                              </w:p>
                              <w:p w14:paraId="2C2BACFE" w14:textId="77777777" w:rsidR="00C70AC7" w:rsidRDefault="00C70AC7" w:rsidP="00490D3C">
                                <w:pPr>
                                  <w:contextualSpacing/>
                                  <w:jc w:val="center"/>
                                  <w:rPr>
                                    <w:rFonts w:ascii="Times New Roman" w:hAnsi="Times New Roman" w:cs="Times New Roman"/>
                                    <w:color w:val="C00000"/>
                                    <w:sz w:val="24"/>
                                    <w:szCs w:val="24"/>
                                  </w:rPr>
                                </w:pPr>
                              </w:p>
                              <w:p w14:paraId="4B083E6A" w14:textId="77777777" w:rsidR="00C70AC7" w:rsidRDefault="00C70AC7" w:rsidP="00490D3C">
                                <w:pPr>
                                  <w:contextualSpacing/>
                                  <w:jc w:val="center"/>
                                  <w:rPr>
                                    <w:rFonts w:ascii="Times New Roman" w:hAnsi="Times New Roman" w:cs="Times New Roman"/>
                                    <w:color w:val="C00000"/>
                                    <w:sz w:val="24"/>
                                    <w:szCs w:val="24"/>
                                  </w:rPr>
                                </w:pPr>
                              </w:p>
                              <w:p w14:paraId="7A85D86E" w14:textId="77777777" w:rsidR="00C70AC7" w:rsidRDefault="00C70AC7" w:rsidP="00490D3C">
                                <w:pPr>
                                  <w:contextualSpacing/>
                                  <w:jc w:val="center"/>
                                  <w:rPr>
                                    <w:rFonts w:ascii="Times New Roman" w:hAnsi="Times New Roman" w:cs="Times New Roman"/>
                                    <w:color w:val="C00000"/>
                                    <w:sz w:val="24"/>
                                    <w:szCs w:val="24"/>
                                  </w:rPr>
                                </w:pPr>
                              </w:p>
                              <w:p w14:paraId="7DBB6A0D" w14:textId="164F47E5" w:rsidR="00C70AC7" w:rsidRPr="00C70AC7" w:rsidRDefault="00C70AC7" w:rsidP="00490D3C">
                                <w:pPr>
                                  <w:contextualSpacing/>
                                  <w:jc w:val="center"/>
                                  <w:rPr>
                                    <w:rFonts w:asciiTheme="majorHAnsi" w:hAnsiTheme="majorHAnsi" w:cstheme="majorHAnsi"/>
                                    <w:b/>
                                    <w:bCs/>
                                    <w:i/>
                                    <w:iCs/>
                                    <w:sz w:val="56"/>
                                    <w:szCs w:val="56"/>
                                  </w:rPr>
                                </w:pPr>
                                <w:r w:rsidRPr="00C70AC7">
                                  <w:rPr>
                                    <w:rFonts w:ascii="Times New Roman" w:hAnsi="Times New Roman" w:cs="Times New Roman"/>
                                    <w:b/>
                                    <w:bCs/>
                                    <w:i/>
                                    <w:iCs/>
                                    <w:color w:val="C00000"/>
                                    <w:sz w:val="24"/>
                                    <w:szCs w:val="24"/>
                                  </w:rPr>
                                  <w:t>Website: https://stats.gov.lc/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3B044" id="_x0000_t202" coordsize="21600,21600" o:spt="202" path="m,l,21600r21600,l21600,xe">
                    <v:stroke joinstyle="miter"/>
                    <v:path gradientshapeok="t" o:connecttype="rect"/>
                  </v:shapetype>
                  <v:shape id="Text Box 2" o:spid="_x0000_s1026" type="#_x0000_t202" style="position:absolute;left:0;text-align:left;margin-left:8pt;margin-top:124.95pt;width:241.5pt;height:365.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" filled="f" stroked="f">
                    <v:textbox>
                      <w:txbxContent>
                        <w:p w14:paraId="7AA73635" w14:textId="5619999B" w:rsidR="00490D3C" w:rsidRPr="00490D3C" w:rsidRDefault="001E0317" w:rsidP="00490D3C">
                          <w:pPr>
                            <w:contextualSpacing/>
                            <w:jc w:val="center"/>
                            <w:rPr>
                              <w:rFonts w:asciiTheme="majorHAnsi" w:hAnsiTheme="majorHAnsi" w:cstheme="majorHAnsi"/>
                              <w:b/>
                              <w:color w:val="181818"/>
                              <w:sz w:val="90"/>
                              <w:szCs w:val="90"/>
                            </w:rPr>
                          </w:pPr>
                          <w:r>
                            <w:rPr>
                              <w:rFonts w:asciiTheme="majorHAnsi" w:hAnsiTheme="majorHAnsi" w:cstheme="majorHAnsi"/>
                              <w:b/>
                              <w:color w:val="181818"/>
                              <w:sz w:val="90"/>
                              <w:szCs w:val="90"/>
                            </w:rPr>
                            <w:t xml:space="preserve">Saint Lucia </w:t>
                          </w:r>
                          <w:r w:rsidR="00490D3C" w:rsidRPr="00490D3C">
                            <w:rPr>
                              <w:rFonts w:asciiTheme="majorHAnsi" w:hAnsiTheme="majorHAnsi" w:cstheme="majorHAnsi"/>
                              <w:b/>
                              <w:color w:val="181818"/>
                              <w:sz w:val="90"/>
                              <w:szCs w:val="90"/>
                            </w:rPr>
                            <w:t>2025</w:t>
                          </w:r>
                        </w:p>
                        <w:p w14:paraId="420348EF" w14:textId="46398ACE" w:rsidR="00C70AC7" w:rsidRDefault="00490D3C" w:rsidP="00490D3C">
                          <w:pPr>
                            <w:contextualSpacing/>
                            <w:jc w:val="center"/>
                            <w:rPr>
                              <w:rFonts w:ascii="Times New Roman" w:hAnsi="Times New Roman" w:cs="Times New Roman"/>
                              <w:color w:val="C00000"/>
                              <w:sz w:val="24"/>
                              <w:szCs w:val="24"/>
                            </w:rPr>
                          </w:pPr>
                          <w:r w:rsidRPr="00490D3C">
                            <w:rPr>
                              <w:rFonts w:asciiTheme="majorHAnsi" w:hAnsiTheme="majorHAnsi" w:cstheme="majorHAnsi"/>
                              <w:b/>
                              <w:bCs/>
                              <w:sz w:val="72"/>
                              <w:szCs w:val="72"/>
                            </w:rPr>
                            <w:t>Labour Force Survey</w:t>
                          </w:r>
                          <w:r w:rsidR="001E0317">
                            <w:rPr>
                              <w:rFonts w:asciiTheme="majorHAnsi" w:hAnsiTheme="majorHAnsi" w:cstheme="majorHAnsi"/>
                              <w:b/>
                              <w:bCs/>
                              <w:sz w:val="72"/>
                              <w:szCs w:val="72"/>
                            </w:rPr>
                            <w:t xml:space="preserve"> Snapshot</w:t>
                          </w:r>
                        </w:p>
                        <w:p w14:paraId="2FA8BFF6" w14:textId="77777777" w:rsidR="00C70AC7" w:rsidRDefault="00C70AC7" w:rsidP="00490D3C">
                          <w:pPr>
                            <w:contextualSpacing/>
                            <w:jc w:val="center"/>
                            <w:rPr>
                              <w:rFonts w:ascii="Times New Roman" w:hAnsi="Times New Roman" w:cs="Times New Roman"/>
                              <w:color w:val="C00000"/>
                              <w:sz w:val="24"/>
                              <w:szCs w:val="24"/>
                            </w:rPr>
                          </w:pPr>
                        </w:p>
                        <w:p w14:paraId="5FB52A94" w14:textId="77777777" w:rsidR="00C70AC7" w:rsidRDefault="00C70AC7" w:rsidP="00490D3C">
                          <w:pPr>
                            <w:contextualSpacing/>
                            <w:jc w:val="center"/>
                            <w:rPr>
                              <w:rFonts w:ascii="Times New Roman" w:hAnsi="Times New Roman" w:cs="Times New Roman"/>
                              <w:color w:val="C00000"/>
                              <w:sz w:val="24"/>
                              <w:szCs w:val="24"/>
                            </w:rPr>
                          </w:pPr>
                        </w:p>
                        <w:p w14:paraId="6771F699" w14:textId="77777777" w:rsidR="00C70AC7" w:rsidRDefault="00C70AC7" w:rsidP="00490D3C">
                          <w:pPr>
                            <w:contextualSpacing/>
                            <w:jc w:val="center"/>
                            <w:rPr>
                              <w:rFonts w:ascii="Times New Roman" w:hAnsi="Times New Roman" w:cs="Times New Roman"/>
                              <w:color w:val="C00000"/>
                              <w:sz w:val="24"/>
                              <w:szCs w:val="24"/>
                            </w:rPr>
                          </w:pPr>
                        </w:p>
                        <w:p w14:paraId="2C2BACFE" w14:textId="77777777" w:rsidR="00C70AC7" w:rsidRDefault="00C70AC7" w:rsidP="00490D3C">
                          <w:pPr>
                            <w:contextualSpacing/>
                            <w:jc w:val="center"/>
                            <w:rPr>
                              <w:rFonts w:ascii="Times New Roman" w:hAnsi="Times New Roman" w:cs="Times New Roman"/>
                              <w:color w:val="C00000"/>
                              <w:sz w:val="24"/>
                              <w:szCs w:val="24"/>
                            </w:rPr>
                          </w:pPr>
                        </w:p>
                        <w:p w14:paraId="4B083E6A" w14:textId="77777777" w:rsidR="00C70AC7" w:rsidRDefault="00C70AC7" w:rsidP="00490D3C">
                          <w:pPr>
                            <w:contextualSpacing/>
                            <w:jc w:val="center"/>
                            <w:rPr>
                              <w:rFonts w:ascii="Times New Roman" w:hAnsi="Times New Roman" w:cs="Times New Roman"/>
                              <w:color w:val="C00000"/>
                              <w:sz w:val="24"/>
                              <w:szCs w:val="24"/>
                            </w:rPr>
                          </w:pPr>
                        </w:p>
                        <w:p w14:paraId="7A85D86E" w14:textId="77777777" w:rsidR="00C70AC7" w:rsidRDefault="00C70AC7" w:rsidP="00490D3C">
                          <w:pPr>
                            <w:contextualSpacing/>
                            <w:jc w:val="center"/>
                            <w:rPr>
                              <w:rFonts w:ascii="Times New Roman" w:hAnsi="Times New Roman" w:cs="Times New Roman"/>
                              <w:color w:val="C00000"/>
                              <w:sz w:val="24"/>
                              <w:szCs w:val="24"/>
                            </w:rPr>
                          </w:pPr>
                        </w:p>
                        <w:p w14:paraId="7DBB6A0D" w14:textId="164F47E5" w:rsidR="00C70AC7" w:rsidRPr="00C70AC7" w:rsidRDefault="00C70AC7" w:rsidP="00490D3C">
                          <w:pPr>
                            <w:contextualSpacing/>
                            <w:jc w:val="center"/>
                            <w:rPr>
                              <w:rFonts w:asciiTheme="majorHAnsi" w:hAnsiTheme="majorHAnsi" w:cstheme="majorHAnsi"/>
                              <w:b/>
                              <w:bCs/>
                              <w:i/>
                              <w:iCs/>
                              <w:sz w:val="56"/>
                              <w:szCs w:val="56"/>
                            </w:rPr>
                          </w:pPr>
                          <w:r w:rsidRPr="00C70AC7">
                            <w:rPr>
                              <w:rFonts w:ascii="Times New Roman" w:hAnsi="Times New Roman" w:cs="Times New Roman"/>
                              <w:b/>
                              <w:bCs/>
                              <w:i/>
                              <w:iCs/>
                              <w:color w:val="C00000"/>
                              <w:sz w:val="24"/>
                              <w:szCs w:val="24"/>
                            </w:rPr>
                            <w:t>Website: https://stats.gov.lc/</w:t>
                          </w:r>
                        </w:p>
                      </w:txbxContent>
                    </v:textbox>
                    <w10:wrap anchorx="page"/>
                  </v:shape>
                </w:pict>
              </mc:Fallback>
            </mc:AlternateContent>
          </w:r>
          <w:r w:rsidR="00490D3C" w:rsidRPr="00955DF7">
            <w:rPr>
              <w:rFonts w:ascii="Calibri" w:eastAsia="Calibri" w:hAnsi="Calibri" w:cs="Times New Roman"/>
              <w:i/>
              <w:iCs/>
              <w:noProof/>
            </w:rPr>
            <mc:AlternateContent>
              <mc:Choice Requires="wps">
                <w:drawing>
                  <wp:anchor distT="45720" distB="45720" distL="114300" distR="114300" simplePos="0" relativeHeight="251669504" behindDoc="0" locked="0" layoutInCell="1" allowOverlap="1" wp14:anchorId="6E8B8626" wp14:editId="6BA6BCE5">
                    <wp:simplePos x="0" y="0"/>
                    <wp:positionH relativeFrom="margin">
                      <wp:posOffset>-716280</wp:posOffset>
                    </wp:positionH>
                    <wp:positionV relativeFrom="paragraph">
                      <wp:posOffset>7016750</wp:posOffset>
                    </wp:positionV>
                    <wp:extent cx="7536180" cy="1783080"/>
                    <wp:effectExtent l="0" t="0" r="0" b="0"/>
                    <wp:wrapNone/>
                    <wp:docPr id="1670344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1783080"/>
                            </a:xfrm>
                            <a:prstGeom prst="rect">
                              <a:avLst/>
                            </a:prstGeom>
                            <a:noFill/>
                            <a:ln w="9525">
                              <a:noFill/>
                              <a:miter lim="800000"/>
                              <a:headEnd/>
                              <a:tailEnd/>
                            </a:ln>
                          </wps:spPr>
                          <wps:txbx>
                            <w:txbxContent>
                              <w:p w14:paraId="6AA41114" w14:textId="77777777" w:rsidR="00490D3C" w:rsidRPr="00490D3C" w:rsidRDefault="00490D3C" w:rsidP="00490D3C">
                                <w:pPr>
                                  <w:shd w:val="clear" w:color="auto" w:fill="000000" w:themeFill="text1"/>
                                  <w:jc w:val="center"/>
                                  <w:rPr>
                                    <w:rFonts w:ascii="Times New Roman" w:eastAsia="Calibri" w:hAnsi="Times New Roman" w:cs="Times New Roman"/>
                                    <w:b/>
                                    <w:bCs/>
                                    <w:sz w:val="72"/>
                                    <w:szCs w:val="72"/>
                                  </w:rPr>
                                </w:pPr>
                                <w:bookmarkStart w:id="1" w:name="_Hlk201068740"/>
                                <w:r w:rsidRPr="00490D3C">
                                  <w:rPr>
                                    <w:rFonts w:ascii="Times New Roman" w:eastAsia="Calibri" w:hAnsi="Times New Roman" w:cs="Times New Roman"/>
                                    <w:b/>
                                    <w:bCs/>
                                    <w:sz w:val="72"/>
                                    <w:szCs w:val="72"/>
                                  </w:rPr>
                                  <w:t xml:space="preserve">Statistical Snapshot </w:t>
                                </w:r>
                              </w:p>
                              <w:p w14:paraId="3330116C" w14:textId="77777777" w:rsidR="00490D3C" w:rsidRPr="00490D3C" w:rsidRDefault="00490D3C" w:rsidP="00490D3C">
                                <w:pPr>
                                  <w:shd w:val="clear" w:color="auto" w:fill="000000" w:themeFill="text1"/>
                                  <w:jc w:val="center"/>
                                  <w:rPr>
                                    <w:rFonts w:ascii="Times New Roman" w:eastAsia="Calibri" w:hAnsi="Times New Roman" w:cs="Times New Roman"/>
                                    <w:b/>
                                    <w:bCs/>
                                    <w:sz w:val="72"/>
                                    <w:szCs w:val="72"/>
                                  </w:rPr>
                                </w:pPr>
                                <w:r w:rsidRPr="00DB2149">
                                  <w:rPr>
                                    <w:rFonts w:ascii="Times New Roman" w:eastAsia="Calibri" w:hAnsi="Times New Roman" w:cs="Times New Roman"/>
                                    <w:b/>
                                    <w:bCs/>
                                    <w:sz w:val="72"/>
                                    <w:szCs w:val="72"/>
                                  </w:rPr>
                                  <w:t>1st Quarter 2025</w:t>
                                </w:r>
                              </w:p>
                              <w:bookmarkEnd w:id="1"/>
                              <w:p w14:paraId="024FED2A" w14:textId="3C300D72" w:rsidR="00490D3C" w:rsidRPr="00DB2149" w:rsidRDefault="00490D3C" w:rsidP="00490D3C">
                                <w:pPr>
                                  <w:shd w:val="clear" w:color="auto" w:fill="000000" w:themeFill="text1"/>
                                  <w:jc w:val="center"/>
                                  <w:rPr>
                                    <w:rFonts w:ascii="Times New Roman" w:eastAsia="Calibri" w:hAnsi="Times New Roman" w:cs="Times New Roman"/>
                                    <w:b/>
                                    <w:bCs/>
                                    <w:i/>
                                    <w:iCs/>
                                    <w:sz w:val="18"/>
                                    <w:szCs w:val="18"/>
                                  </w:rPr>
                                </w:pPr>
                                <w:r w:rsidRPr="00490D3C">
                                  <w:rPr>
                                    <w:rFonts w:ascii="Times New Roman" w:eastAsia="Calibri" w:hAnsi="Times New Roman" w:cs="Times New Roman"/>
                                    <w:b/>
                                    <w:bCs/>
                                    <w:i/>
                                    <w:iCs/>
                                    <w:sz w:val="18"/>
                                    <w:szCs w:val="18"/>
                                  </w:rPr>
                                  <w:t>Saint Lucia Central Statistical Office Website: https://stats.gov.lc/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8626" id="_x0000_s1027" type="#_x0000_t202" style="position:absolute;left:0;text-align:left;margin-left:-56.4pt;margin-top:552.5pt;width:593.4pt;height:140.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" filled="f" stroked="f">
                    <v:textbox>
                      <w:txbxContent>
                        <w:p w14:paraId="6AA41114" w14:textId="77777777" w:rsidR="00490D3C" w:rsidRPr="00490D3C" w:rsidRDefault="00490D3C" w:rsidP="00490D3C">
                          <w:pPr>
                            <w:shd w:val="clear" w:color="auto" w:fill="000000" w:themeFill="text1"/>
                            <w:jc w:val="center"/>
                            <w:rPr>
                              <w:rFonts w:ascii="Times New Roman" w:eastAsia="Calibri" w:hAnsi="Times New Roman" w:cs="Times New Roman"/>
                              <w:b/>
                              <w:bCs/>
                              <w:sz w:val="72"/>
                              <w:szCs w:val="72"/>
                            </w:rPr>
                          </w:pPr>
                          <w:bookmarkStart w:id="2" w:name="_Hlk201068740"/>
                          <w:r w:rsidRPr="00490D3C">
                            <w:rPr>
                              <w:rFonts w:ascii="Times New Roman" w:eastAsia="Calibri" w:hAnsi="Times New Roman" w:cs="Times New Roman"/>
                              <w:b/>
                              <w:bCs/>
                              <w:sz w:val="72"/>
                              <w:szCs w:val="72"/>
                            </w:rPr>
                            <w:t xml:space="preserve">Statistical Snapshot </w:t>
                          </w:r>
                        </w:p>
                        <w:p w14:paraId="3330116C" w14:textId="77777777" w:rsidR="00490D3C" w:rsidRPr="00490D3C" w:rsidRDefault="00490D3C" w:rsidP="00490D3C">
                          <w:pPr>
                            <w:shd w:val="clear" w:color="auto" w:fill="000000" w:themeFill="text1"/>
                            <w:jc w:val="center"/>
                            <w:rPr>
                              <w:rFonts w:ascii="Times New Roman" w:eastAsia="Calibri" w:hAnsi="Times New Roman" w:cs="Times New Roman"/>
                              <w:b/>
                              <w:bCs/>
                              <w:sz w:val="72"/>
                              <w:szCs w:val="72"/>
                            </w:rPr>
                          </w:pPr>
                          <w:r w:rsidRPr="00DB2149">
                            <w:rPr>
                              <w:rFonts w:ascii="Times New Roman" w:eastAsia="Calibri" w:hAnsi="Times New Roman" w:cs="Times New Roman"/>
                              <w:b/>
                              <w:bCs/>
                              <w:sz w:val="72"/>
                              <w:szCs w:val="72"/>
                            </w:rPr>
                            <w:t>1st Quarter 2025</w:t>
                          </w:r>
                        </w:p>
                        <w:bookmarkEnd w:id="2"/>
                        <w:p w14:paraId="024FED2A" w14:textId="3C300D72" w:rsidR="00490D3C" w:rsidRPr="00DB2149" w:rsidRDefault="00490D3C" w:rsidP="00490D3C">
                          <w:pPr>
                            <w:shd w:val="clear" w:color="auto" w:fill="000000" w:themeFill="text1"/>
                            <w:jc w:val="center"/>
                            <w:rPr>
                              <w:rFonts w:ascii="Times New Roman" w:eastAsia="Calibri" w:hAnsi="Times New Roman" w:cs="Times New Roman"/>
                              <w:b/>
                              <w:bCs/>
                              <w:i/>
                              <w:iCs/>
                              <w:sz w:val="18"/>
                              <w:szCs w:val="18"/>
                            </w:rPr>
                          </w:pPr>
                          <w:r w:rsidRPr="00490D3C">
                            <w:rPr>
                              <w:rFonts w:ascii="Times New Roman" w:eastAsia="Calibri" w:hAnsi="Times New Roman" w:cs="Times New Roman"/>
                              <w:b/>
                              <w:bCs/>
                              <w:i/>
                              <w:iCs/>
                              <w:sz w:val="18"/>
                              <w:szCs w:val="18"/>
                            </w:rPr>
                            <w:t>Saint Lucia Central Statistical Office Website: https://stats.gov.lc/</w:t>
                          </w:r>
                        </w:p>
                      </w:txbxContent>
                    </v:textbox>
                    <w10:wrap anchorx="margin"/>
                  </v:shape>
                </w:pict>
              </mc:Fallback>
            </mc:AlternateContent>
          </w:r>
          <w:r w:rsidR="00A411E9" w:rsidRPr="00955DF7">
            <w:rPr>
              <w:rFonts w:ascii="Times New Roman" w:hAnsi="Times New Roman" w:cs="Times New Roman"/>
              <w:sz w:val="24"/>
              <w:szCs w:val="24"/>
            </w:rPr>
            <w:br w:type="page"/>
          </w:r>
        </w:p>
        <w:p w14:paraId="17EE1261" w14:textId="6A3E742E" w:rsidR="00A411E9" w:rsidRPr="00955DF7" w:rsidRDefault="00000000">
          <w:pPr>
            <w:rPr>
              <w:rFonts w:ascii="Times New Roman" w:hAnsi="Times New Roman" w:cs="Times New Roman"/>
              <w:sz w:val="24"/>
              <w:szCs w:val="24"/>
            </w:rPr>
          </w:pPr>
        </w:p>
      </w:sdtContent>
    </w:sdt>
    <w:bookmarkEnd w:id="0"/>
    <w:p w14:paraId="1C63FCBE" w14:textId="718CB7DB" w:rsidR="00842873" w:rsidRPr="00955DF7" w:rsidRDefault="00842873" w:rsidP="00652102">
      <w:pPr>
        <w:spacing w:line="360" w:lineRule="auto"/>
        <w:jc w:val="center"/>
        <w:rPr>
          <w:rFonts w:ascii="Times New Roman" w:hAnsi="Times New Roman" w:cs="Times New Roman"/>
          <w:b/>
          <w:bCs/>
          <w:sz w:val="24"/>
          <w:szCs w:val="24"/>
          <w:u w:val="single"/>
        </w:rPr>
      </w:pPr>
      <w:r w:rsidRPr="00955DF7">
        <w:rPr>
          <w:rFonts w:ascii="Times New Roman" w:hAnsi="Times New Roman" w:cs="Times New Roman"/>
          <w:b/>
          <w:bCs/>
          <w:sz w:val="24"/>
          <w:szCs w:val="24"/>
          <w:u w:val="single"/>
        </w:rPr>
        <w:t xml:space="preserve">Cautionary Note: </w:t>
      </w:r>
      <w:r w:rsidR="00490D3C" w:rsidRPr="00955DF7">
        <w:rPr>
          <w:rFonts w:ascii="Times New Roman" w:hAnsi="Times New Roman" w:cs="Times New Roman"/>
          <w:b/>
          <w:bCs/>
          <w:sz w:val="24"/>
          <w:szCs w:val="24"/>
          <w:u w:val="single"/>
        </w:rPr>
        <w:t>Q1</w:t>
      </w:r>
      <w:r w:rsidRPr="00955DF7">
        <w:rPr>
          <w:rFonts w:ascii="Times New Roman" w:hAnsi="Times New Roman" w:cs="Times New Roman"/>
          <w:b/>
          <w:bCs/>
          <w:sz w:val="24"/>
          <w:szCs w:val="24"/>
          <w:u w:val="single"/>
        </w:rPr>
        <w:t xml:space="preserve"> </w:t>
      </w:r>
      <w:r w:rsidR="00490D3C" w:rsidRPr="00955DF7">
        <w:rPr>
          <w:rFonts w:ascii="Times New Roman" w:hAnsi="Times New Roman" w:cs="Times New Roman"/>
          <w:b/>
          <w:bCs/>
          <w:sz w:val="24"/>
          <w:szCs w:val="24"/>
          <w:u w:val="single"/>
        </w:rPr>
        <w:t>2025</w:t>
      </w:r>
      <w:r w:rsidRPr="00955DF7">
        <w:rPr>
          <w:rFonts w:ascii="Times New Roman" w:hAnsi="Times New Roman" w:cs="Times New Roman"/>
          <w:b/>
          <w:bCs/>
          <w:sz w:val="24"/>
          <w:szCs w:val="24"/>
          <w:u w:val="single"/>
        </w:rPr>
        <w:t xml:space="preserve"> Labour Force Report</w:t>
      </w:r>
    </w:p>
    <w:p w14:paraId="0A812721" w14:textId="77777777" w:rsidR="00A33120" w:rsidRPr="00955DF7" w:rsidRDefault="00A33120" w:rsidP="00652102">
      <w:pPr>
        <w:spacing w:line="360" w:lineRule="auto"/>
        <w:jc w:val="center"/>
        <w:rPr>
          <w:rFonts w:ascii="Times New Roman" w:hAnsi="Times New Roman" w:cs="Times New Roman"/>
          <w:b/>
          <w:bCs/>
          <w:sz w:val="24"/>
          <w:szCs w:val="24"/>
          <w:u w:val="single"/>
        </w:rPr>
      </w:pPr>
    </w:p>
    <w:p w14:paraId="7A15F506" w14:textId="37621DD4" w:rsidR="00842873" w:rsidRPr="00955DF7" w:rsidRDefault="00842873" w:rsidP="00652102">
      <w:pPr>
        <w:spacing w:line="360" w:lineRule="auto"/>
        <w:jc w:val="both"/>
        <w:rPr>
          <w:rFonts w:ascii="Times New Roman" w:hAnsi="Times New Roman" w:cs="Times New Roman"/>
          <w:b/>
          <w:bCs/>
          <w:i/>
          <w:iCs/>
          <w:sz w:val="24"/>
          <w:szCs w:val="24"/>
        </w:rPr>
      </w:pPr>
      <w:r w:rsidRPr="00955DF7">
        <w:rPr>
          <w:rFonts w:ascii="Times New Roman" w:hAnsi="Times New Roman" w:cs="Times New Roman"/>
          <w:b/>
          <w:bCs/>
          <w:i/>
          <w:iCs/>
          <w:sz w:val="24"/>
          <w:szCs w:val="24"/>
        </w:rPr>
        <w:t xml:space="preserve">In accordance with our commitment to providing accurate and comprehensive statistical information, the Central Statistical Office (CSO) wishes to inform all stakeholders, including the general public and data users, about the scope of the forthcoming Labour Force Report for the </w:t>
      </w:r>
      <w:r w:rsidR="003C117D" w:rsidRPr="00162A5D">
        <w:rPr>
          <w:rFonts w:ascii="Times New Roman" w:hAnsi="Times New Roman" w:cs="Times New Roman"/>
          <w:b/>
          <w:bCs/>
          <w:i/>
          <w:iCs/>
          <w:strike/>
          <w:sz w:val="24"/>
          <w:szCs w:val="24"/>
        </w:rPr>
        <w:t>fourth</w:t>
      </w:r>
      <w:r w:rsidR="00162A5D">
        <w:rPr>
          <w:rFonts w:ascii="Times New Roman" w:hAnsi="Times New Roman" w:cs="Times New Roman"/>
          <w:b/>
          <w:bCs/>
          <w:i/>
          <w:iCs/>
          <w:sz w:val="24"/>
          <w:szCs w:val="24"/>
        </w:rPr>
        <w:t xml:space="preserve"> </w:t>
      </w:r>
      <w:r w:rsidR="00162A5D" w:rsidRPr="00162A5D">
        <w:rPr>
          <w:rFonts w:ascii="Times New Roman" w:hAnsi="Times New Roman" w:cs="Times New Roman"/>
          <w:b/>
          <w:bCs/>
          <w:i/>
          <w:iCs/>
          <w:color w:val="EE0000"/>
          <w:sz w:val="24"/>
          <w:szCs w:val="24"/>
        </w:rPr>
        <w:t>first</w:t>
      </w:r>
      <w:r w:rsidR="00D9074C" w:rsidRPr="00162A5D">
        <w:rPr>
          <w:rFonts w:ascii="Times New Roman" w:hAnsi="Times New Roman" w:cs="Times New Roman"/>
          <w:b/>
          <w:bCs/>
          <w:i/>
          <w:iCs/>
          <w:color w:val="EE0000"/>
          <w:sz w:val="24"/>
          <w:szCs w:val="24"/>
        </w:rPr>
        <w:t xml:space="preserve"> </w:t>
      </w:r>
      <w:r w:rsidR="00D9074C" w:rsidRPr="00955DF7">
        <w:rPr>
          <w:rFonts w:ascii="Times New Roman" w:hAnsi="Times New Roman" w:cs="Times New Roman"/>
          <w:b/>
          <w:bCs/>
          <w:i/>
          <w:iCs/>
          <w:sz w:val="24"/>
          <w:szCs w:val="24"/>
        </w:rPr>
        <w:t>quarter</w:t>
      </w:r>
      <w:r w:rsidRPr="00955DF7">
        <w:rPr>
          <w:rFonts w:ascii="Times New Roman" w:hAnsi="Times New Roman" w:cs="Times New Roman"/>
          <w:b/>
          <w:bCs/>
          <w:i/>
          <w:iCs/>
          <w:sz w:val="24"/>
          <w:szCs w:val="24"/>
        </w:rPr>
        <w:t xml:space="preserve"> of </w:t>
      </w:r>
      <w:r w:rsidR="00490D3C" w:rsidRPr="00955DF7">
        <w:rPr>
          <w:rFonts w:ascii="Times New Roman" w:hAnsi="Times New Roman" w:cs="Times New Roman"/>
          <w:b/>
          <w:bCs/>
          <w:i/>
          <w:iCs/>
          <w:sz w:val="24"/>
          <w:szCs w:val="24"/>
        </w:rPr>
        <w:t>2025</w:t>
      </w:r>
      <w:r w:rsidRPr="00955DF7">
        <w:rPr>
          <w:rFonts w:ascii="Times New Roman" w:hAnsi="Times New Roman" w:cs="Times New Roman"/>
          <w:b/>
          <w:bCs/>
          <w:i/>
          <w:iCs/>
          <w:sz w:val="24"/>
          <w:szCs w:val="24"/>
        </w:rPr>
        <w:t xml:space="preserve"> (</w:t>
      </w:r>
      <w:r w:rsidR="00490D3C" w:rsidRPr="00955DF7">
        <w:rPr>
          <w:rFonts w:ascii="Times New Roman" w:hAnsi="Times New Roman" w:cs="Times New Roman"/>
          <w:b/>
          <w:bCs/>
          <w:i/>
          <w:iCs/>
          <w:sz w:val="24"/>
          <w:szCs w:val="24"/>
        </w:rPr>
        <w:t>Q1</w:t>
      </w:r>
      <w:r w:rsidRPr="00955DF7">
        <w:rPr>
          <w:rFonts w:ascii="Times New Roman" w:hAnsi="Times New Roman" w:cs="Times New Roman"/>
          <w:b/>
          <w:bCs/>
          <w:i/>
          <w:iCs/>
          <w:sz w:val="24"/>
          <w:szCs w:val="24"/>
        </w:rPr>
        <w:t xml:space="preserve"> </w:t>
      </w:r>
      <w:r w:rsidR="00490D3C" w:rsidRPr="00955DF7">
        <w:rPr>
          <w:rFonts w:ascii="Times New Roman" w:hAnsi="Times New Roman" w:cs="Times New Roman"/>
          <w:b/>
          <w:bCs/>
          <w:i/>
          <w:iCs/>
          <w:sz w:val="24"/>
          <w:szCs w:val="24"/>
        </w:rPr>
        <w:t>2025</w:t>
      </w:r>
      <w:r w:rsidR="005E3146" w:rsidRPr="00955DF7">
        <w:rPr>
          <w:rFonts w:ascii="Times New Roman" w:hAnsi="Times New Roman" w:cs="Times New Roman"/>
          <w:b/>
          <w:bCs/>
          <w:i/>
          <w:iCs/>
          <w:sz w:val="24"/>
          <w:szCs w:val="24"/>
        </w:rPr>
        <w:t xml:space="preserve">), </w:t>
      </w:r>
      <w:r w:rsidR="00490D3C" w:rsidRPr="00955DF7">
        <w:rPr>
          <w:rFonts w:ascii="Times New Roman" w:hAnsi="Times New Roman" w:cs="Times New Roman"/>
          <w:b/>
          <w:bCs/>
          <w:i/>
          <w:iCs/>
          <w:sz w:val="24"/>
          <w:szCs w:val="24"/>
        </w:rPr>
        <w:t>January</w:t>
      </w:r>
      <w:r w:rsidR="005E3146" w:rsidRPr="00955DF7">
        <w:rPr>
          <w:rFonts w:ascii="Times New Roman" w:hAnsi="Times New Roman" w:cs="Times New Roman"/>
          <w:b/>
          <w:bCs/>
          <w:i/>
          <w:iCs/>
          <w:sz w:val="24"/>
          <w:szCs w:val="24"/>
        </w:rPr>
        <w:t xml:space="preserve"> to </w:t>
      </w:r>
      <w:r w:rsidR="00490D3C" w:rsidRPr="00955DF7">
        <w:rPr>
          <w:rFonts w:ascii="Times New Roman" w:hAnsi="Times New Roman" w:cs="Times New Roman"/>
          <w:b/>
          <w:bCs/>
          <w:i/>
          <w:iCs/>
          <w:sz w:val="24"/>
          <w:szCs w:val="24"/>
        </w:rPr>
        <w:t>March</w:t>
      </w:r>
      <w:r w:rsidR="005E3146" w:rsidRPr="00955DF7">
        <w:rPr>
          <w:rFonts w:ascii="Times New Roman" w:hAnsi="Times New Roman" w:cs="Times New Roman"/>
          <w:b/>
          <w:bCs/>
          <w:i/>
          <w:iCs/>
          <w:sz w:val="24"/>
          <w:szCs w:val="24"/>
        </w:rPr>
        <w:t xml:space="preserve"> </w:t>
      </w:r>
      <w:r w:rsidR="00490D3C" w:rsidRPr="00955DF7">
        <w:rPr>
          <w:rFonts w:ascii="Times New Roman" w:hAnsi="Times New Roman" w:cs="Times New Roman"/>
          <w:b/>
          <w:bCs/>
          <w:i/>
          <w:iCs/>
          <w:sz w:val="24"/>
          <w:szCs w:val="24"/>
        </w:rPr>
        <w:t>2025</w:t>
      </w:r>
      <w:r w:rsidRPr="00955DF7">
        <w:rPr>
          <w:rFonts w:ascii="Times New Roman" w:hAnsi="Times New Roman" w:cs="Times New Roman"/>
          <w:b/>
          <w:bCs/>
          <w:i/>
          <w:iCs/>
          <w:sz w:val="24"/>
          <w:szCs w:val="24"/>
        </w:rPr>
        <w:t>.</w:t>
      </w:r>
    </w:p>
    <w:p w14:paraId="505A8B4B" w14:textId="4D458FEC" w:rsidR="005E3146" w:rsidRPr="00955DF7" w:rsidRDefault="005E3146" w:rsidP="00652102">
      <w:pPr>
        <w:shd w:val="clear" w:color="auto" w:fill="FFFFFF"/>
        <w:spacing w:after="0" w:line="360" w:lineRule="auto"/>
        <w:jc w:val="both"/>
        <w:rPr>
          <w:rFonts w:ascii="Times New Roman" w:eastAsia="Calibri" w:hAnsi="Times New Roman" w:cs="Times New Roman"/>
          <w:b/>
          <w:bCs/>
          <w:i/>
          <w:iCs/>
          <w:sz w:val="24"/>
          <w:szCs w:val="24"/>
        </w:rPr>
      </w:pPr>
      <w:r w:rsidRPr="00955DF7">
        <w:rPr>
          <w:rFonts w:ascii="Times New Roman" w:eastAsia="Calibri" w:hAnsi="Times New Roman" w:cs="Times New Roman"/>
          <w:b/>
          <w:bCs/>
          <w:i/>
          <w:iCs/>
          <w:sz w:val="24"/>
          <w:szCs w:val="24"/>
        </w:rPr>
        <w:t xml:space="preserve">Information contained in this report is the result of a Household Labour Force Survey, </w:t>
      </w:r>
      <w:r w:rsidRPr="00162A5D">
        <w:rPr>
          <w:rFonts w:ascii="Times New Roman" w:eastAsia="Calibri" w:hAnsi="Times New Roman" w:cs="Times New Roman"/>
          <w:b/>
          <w:bCs/>
          <w:i/>
          <w:iCs/>
          <w:strike/>
          <w:sz w:val="24"/>
          <w:szCs w:val="24"/>
        </w:rPr>
        <w:t xml:space="preserve">conducted during the </w:t>
      </w:r>
      <w:r w:rsidR="003C117D" w:rsidRPr="00162A5D">
        <w:rPr>
          <w:rFonts w:ascii="Times New Roman" w:eastAsia="Calibri" w:hAnsi="Times New Roman" w:cs="Times New Roman"/>
          <w:b/>
          <w:bCs/>
          <w:i/>
          <w:iCs/>
          <w:strike/>
          <w:sz w:val="24"/>
          <w:szCs w:val="24"/>
        </w:rPr>
        <w:t>f</w:t>
      </w:r>
      <w:r w:rsidR="00490D3C" w:rsidRPr="00162A5D">
        <w:rPr>
          <w:rFonts w:ascii="Times New Roman" w:eastAsia="Calibri" w:hAnsi="Times New Roman" w:cs="Times New Roman"/>
          <w:b/>
          <w:bCs/>
          <w:i/>
          <w:iCs/>
          <w:strike/>
          <w:sz w:val="24"/>
          <w:szCs w:val="24"/>
        </w:rPr>
        <w:t>irst</w:t>
      </w:r>
      <w:r w:rsidRPr="00162A5D">
        <w:rPr>
          <w:rFonts w:ascii="Times New Roman" w:eastAsia="Calibri" w:hAnsi="Times New Roman" w:cs="Times New Roman"/>
          <w:b/>
          <w:bCs/>
          <w:i/>
          <w:iCs/>
          <w:strike/>
          <w:sz w:val="24"/>
          <w:szCs w:val="24"/>
        </w:rPr>
        <w:t xml:space="preserve"> quarter of </w:t>
      </w:r>
      <w:r w:rsidR="00490D3C" w:rsidRPr="00162A5D">
        <w:rPr>
          <w:rFonts w:ascii="Times New Roman" w:eastAsia="Calibri" w:hAnsi="Times New Roman" w:cs="Times New Roman"/>
          <w:b/>
          <w:bCs/>
          <w:i/>
          <w:iCs/>
          <w:strike/>
          <w:sz w:val="24"/>
          <w:szCs w:val="24"/>
        </w:rPr>
        <w:t>2025</w:t>
      </w:r>
      <w:r w:rsidRPr="00162A5D">
        <w:rPr>
          <w:rFonts w:ascii="Times New Roman" w:eastAsia="Calibri" w:hAnsi="Times New Roman" w:cs="Times New Roman"/>
          <w:b/>
          <w:bCs/>
          <w:i/>
          <w:iCs/>
          <w:strike/>
          <w:sz w:val="24"/>
          <w:szCs w:val="24"/>
        </w:rPr>
        <w:t>,</w:t>
      </w:r>
      <w:r w:rsidRPr="00955DF7">
        <w:rPr>
          <w:rFonts w:ascii="Times New Roman" w:eastAsia="Calibri" w:hAnsi="Times New Roman" w:cs="Times New Roman"/>
          <w:b/>
          <w:bCs/>
          <w:i/>
          <w:iCs/>
          <w:sz w:val="24"/>
          <w:szCs w:val="24"/>
        </w:rPr>
        <w:t xml:space="preserve"> </w:t>
      </w:r>
      <w:r w:rsidRPr="00162A5D">
        <w:rPr>
          <w:rFonts w:ascii="Times New Roman" w:eastAsia="Calibri" w:hAnsi="Times New Roman" w:cs="Times New Roman"/>
          <w:b/>
          <w:bCs/>
          <w:i/>
          <w:iCs/>
          <w:strike/>
          <w:sz w:val="24"/>
          <w:szCs w:val="24"/>
        </w:rPr>
        <w:t xml:space="preserve">from </w:t>
      </w:r>
      <w:r w:rsidR="00490D3C" w:rsidRPr="00162A5D">
        <w:rPr>
          <w:rFonts w:ascii="Times New Roman" w:hAnsi="Times New Roman" w:cs="Times New Roman"/>
          <w:b/>
          <w:bCs/>
          <w:i/>
          <w:iCs/>
          <w:strike/>
          <w:sz w:val="24"/>
          <w:szCs w:val="24"/>
        </w:rPr>
        <w:t>January to March 2025</w:t>
      </w:r>
      <w:r w:rsidR="00490D3C" w:rsidRPr="00955DF7">
        <w:rPr>
          <w:rFonts w:ascii="Times New Roman" w:hAnsi="Times New Roman" w:cs="Times New Roman"/>
          <w:b/>
          <w:bCs/>
          <w:i/>
          <w:iCs/>
          <w:sz w:val="24"/>
          <w:szCs w:val="24"/>
        </w:rPr>
        <w:t xml:space="preserve"> </w:t>
      </w:r>
      <w:r w:rsidRPr="00955DF7">
        <w:rPr>
          <w:rFonts w:ascii="Times New Roman" w:eastAsia="Calibri" w:hAnsi="Times New Roman" w:cs="Times New Roman"/>
          <w:b/>
          <w:bCs/>
          <w:i/>
          <w:iCs/>
          <w:sz w:val="24"/>
          <w:szCs w:val="24"/>
        </w:rPr>
        <w:t xml:space="preserve">and is aimed at providing information about the level of participation of household members in the labour force and the size of the labour force, aged 15 years and above, engaged in economic activities. </w:t>
      </w:r>
    </w:p>
    <w:p w14:paraId="3C9EAAD7" w14:textId="77777777" w:rsidR="005E3146" w:rsidRPr="00955DF7" w:rsidRDefault="005E3146" w:rsidP="00652102">
      <w:pPr>
        <w:shd w:val="clear" w:color="auto" w:fill="FFFFFF"/>
        <w:spacing w:after="0" w:line="360" w:lineRule="auto"/>
        <w:jc w:val="both"/>
        <w:rPr>
          <w:rFonts w:ascii="Times New Roman" w:eastAsia="Calibri" w:hAnsi="Times New Roman" w:cs="Times New Roman"/>
          <w:b/>
          <w:bCs/>
          <w:i/>
          <w:iCs/>
          <w:sz w:val="24"/>
          <w:szCs w:val="24"/>
        </w:rPr>
      </w:pPr>
    </w:p>
    <w:p w14:paraId="2E0CD7D8" w14:textId="3FD57EFA" w:rsidR="005E3146" w:rsidRPr="00955DF7" w:rsidRDefault="005E3146" w:rsidP="00652102">
      <w:pPr>
        <w:shd w:val="clear" w:color="auto" w:fill="FFFFFF"/>
        <w:spacing w:after="0" w:line="360" w:lineRule="auto"/>
        <w:jc w:val="both"/>
        <w:rPr>
          <w:rFonts w:ascii="Times New Roman" w:eastAsia="Calibri" w:hAnsi="Times New Roman" w:cs="Times New Roman"/>
          <w:b/>
          <w:bCs/>
          <w:i/>
          <w:iCs/>
          <w:sz w:val="24"/>
          <w:szCs w:val="24"/>
        </w:rPr>
      </w:pPr>
      <w:r w:rsidRPr="00955DF7">
        <w:rPr>
          <w:rFonts w:ascii="Times New Roman" w:eastAsia="Calibri" w:hAnsi="Times New Roman" w:cs="Times New Roman"/>
          <w:b/>
          <w:bCs/>
          <w:i/>
          <w:iCs/>
          <w:sz w:val="24"/>
          <w:szCs w:val="24"/>
        </w:rPr>
        <w:t>It must be noted that the Central Statistical Office (CSO) always strives to ensure that our procedures and processes for the implementation of the Labour Force Survey are in keeping with proven methodologies</w:t>
      </w:r>
      <w:r w:rsidR="00162A5D">
        <w:rPr>
          <w:rFonts w:ascii="Times New Roman" w:eastAsia="Calibri" w:hAnsi="Times New Roman" w:cs="Times New Roman"/>
          <w:b/>
          <w:bCs/>
          <w:i/>
          <w:iCs/>
          <w:sz w:val="24"/>
          <w:szCs w:val="24"/>
        </w:rPr>
        <w:t xml:space="preserve"> </w:t>
      </w:r>
      <w:r w:rsidR="00162A5D" w:rsidRPr="00162A5D">
        <w:rPr>
          <w:rFonts w:ascii="Times New Roman" w:eastAsia="Calibri" w:hAnsi="Times New Roman" w:cs="Times New Roman"/>
          <w:b/>
          <w:bCs/>
          <w:i/>
          <w:iCs/>
          <w:color w:val="EE0000"/>
          <w:sz w:val="24"/>
          <w:szCs w:val="24"/>
        </w:rPr>
        <w:t>and international standards</w:t>
      </w:r>
      <w:r w:rsidRPr="00955DF7">
        <w:rPr>
          <w:rFonts w:ascii="Times New Roman" w:eastAsia="Calibri" w:hAnsi="Times New Roman" w:cs="Times New Roman"/>
          <w:b/>
          <w:bCs/>
          <w:i/>
          <w:iCs/>
          <w:sz w:val="24"/>
          <w:szCs w:val="24"/>
        </w:rPr>
        <w:t xml:space="preserve">. Therefore, the results represent the collated responses of a sample of households interviewed during the period in question and not the opinion of the Central Statistical Office. Results from sample surveys are always estimates, not precise figures. </w:t>
      </w:r>
    </w:p>
    <w:p w14:paraId="3DC135DD" w14:textId="77777777" w:rsidR="005E3146" w:rsidRPr="00955DF7" w:rsidRDefault="005E3146" w:rsidP="00652102">
      <w:pPr>
        <w:shd w:val="clear" w:color="auto" w:fill="FFFFFF"/>
        <w:spacing w:after="0" w:line="360" w:lineRule="auto"/>
        <w:jc w:val="both"/>
        <w:rPr>
          <w:rFonts w:ascii="Times New Roman" w:eastAsia="Calibri" w:hAnsi="Times New Roman" w:cs="Times New Roman"/>
          <w:b/>
          <w:bCs/>
          <w:i/>
          <w:iCs/>
          <w:sz w:val="24"/>
          <w:szCs w:val="24"/>
        </w:rPr>
      </w:pPr>
    </w:p>
    <w:p w14:paraId="365DB661" w14:textId="2D8FC1C6" w:rsidR="000B48A7" w:rsidRPr="00955DF7" w:rsidRDefault="00431296" w:rsidP="003C117D">
      <w:pPr>
        <w:spacing w:line="360" w:lineRule="auto"/>
        <w:jc w:val="both"/>
        <w:rPr>
          <w:rFonts w:ascii="Times New Roman" w:hAnsi="Times New Roman" w:cs="Times New Roman"/>
          <w:b/>
          <w:bCs/>
          <w:i/>
          <w:iCs/>
          <w:sz w:val="24"/>
          <w:szCs w:val="24"/>
          <w:u w:val="single"/>
        </w:rPr>
      </w:pPr>
      <w:r w:rsidRPr="00955DF7">
        <w:rPr>
          <w:rFonts w:ascii="Times New Roman" w:hAnsi="Times New Roman" w:cs="Times New Roman"/>
          <w:b/>
          <w:bCs/>
          <w:i/>
          <w:iCs/>
          <w:sz w:val="24"/>
          <w:szCs w:val="24"/>
        </w:rPr>
        <w:t xml:space="preserve">We appreciate your understanding and patience as we diligently compile accurate and comprehensive labour market statistics. To assure the reliability and international alignment of our data, we </w:t>
      </w:r>
      <w:r w:rsidR="00162A5D" w:rsidRPr="00955DF7">
        <w:rPr>
          <w:rFonts w:ascii="Times New Roman" w:hAnsi="Times New Roman" w:cs="Times New Roman"/>
          <w:b/>
          <w:bCs/>
          <w:i/>
          <w:iCs/>
          <w:sz w:val="24"/>
          <w:szCs w:val="24"/>
        </w:rPr>
        <w:t>collaborate</w:t>
      </w:r>
      <w:r w:rsidRPr="00955DF7">
        <w:rPr>
          <w:rFonts w:ascii="Times New Roman" w:hAnsi="Times New Roman" w:cs="Times New Roman"/>
          <w:b/>
          <w:bCs/>
          <w:i/>
          <w:iCs/>
          <w:sz w:val="24"/>
          <w:szCs w:val="24"/>
        </w:rPr>
        <w:t xml:space="preserve"> closely with the International Labour Organization (ILO).</w:t>
      </w:r>
      <w:r w:rsidR="00842873" w:rsidRPr="00955DF7">
        <w:rPr>
          <w:rFonts w:ascii="Times New Roman" w:hAnsi="Times New Roman" w:cs="Times New Roman"/>
          <w:b/>
          <w:bCs/>
          <w:i/>
          <w:iCs/>
          <w:sz w:val="24"/>
          <w:szCs w:val="24"/>
        </w:rPr>
        <w:t xml:space="preserve"> The CSO remains committed to transparency and quality in our data reporting practices. </w:t>
      </w:r>
    </w:p>
    <w:p w14:paraId="002BF106" w14:textId="77777777" w:rsidR="00B557FA" w:rsidRPr="00955DF7" w:rsidRDefault="00B557FA" w:rsidP="000B48A7">
      <w:pPr>
        <w:spacing w:line="360" w:lineRule="auto"/>
        <w:jc w:val="center"/>
        <w:rPr>
          <w:rFonts w:ascii="Times New Roman" w:hAnsi="Times New Roman" w:cs="Times New Roman"/>
          <w:b/>
          <w:bCs/>
          <w:i/>
          <w:iCs/>
          <w:sz w:val="24"/>
          <w:szCs w:val="24"/>
          <w:u w:val="single"/>
        </w:rPr>
      </w:pPr>
    </w:p>
    <w:p w14:paraId="5414C568" w14:textId="77777777" w:rsidR="00B557FA" w:rsidRPr="00955DF7" w:rsidRDefault="00B557FA" w:rsidP="000B48A7">
      <w:pPr>
        <w:spacing w:line="360" w:lineRule="auto"/>
        <w:jc w:val="center"/>
        <w:rPr>
          <w:rFonts w:ascii="Times New Roman" w:hAnsi="Times New Roman" w:cs="Times New Roman"/>
          <w:b/>
          <w:bCs/>
          <w:i/>
          <w:iCs/>
          <w:sz w:val="24"/>
          <w:szCs w:val="24"/>
          <w:u w:val="single"/>
        </w:rPr>
      </w:pPr>
    </w:p>
    <w:sdt>
      <w:sdtPr>
        <w:rPr>
          <w:rFonts w:ascii="Times New Roman" w:eastAsiaTheme="minorEastAsia" w:hAnsi="Times New Roman" w:cs="Times New Roman"/>
          <w:caps w:val="0"/>
          <w:sz w:val="24"/>
          <w:szCs w:val="24"/>
        </w:rPr>
        <w:id w:val="1951896749"/>
        <w:docPartObj>
          <w:docPartGallery w:val="Table of Contents"/>
          <w:docPartUnique/>
        </w:docPartObj>
      </w:sdtPr>
      <w:sdtEndPr>
        <w:rPr>
          <w:b/>
          <w:bCs/>
          <w:noProof/>
        </w:rPr>
      </w:sdtEndPr>
      <w:sdtContent>
        <w:p w14:paraId="752568EF" w14:textId="3FB1FF62" w:rsidR="00B557FA" w:rsidRPr="00A743A9" w:rsidRDefault="00B557FA" w:rsidP="00A743A9">
          <w:pPr>
            <w:pStyle w:val="TOCHeading"/>
            <w:spacing w:line="480" w:lineRule="auto"/>
            <w:rPr>
              <w:rFonts w:ascii="Times New Roman" w:hAnsi="Times New Roman" w:cs="Times New Roman"/>
              <w:b/>
              <w:bCs/>
              <w:sz w:val="24"/>
              <w:szCs w:val="24"/>
            </w:rPr>
          </w:pPr>
          <w:r w:rsidRPr="00A743A9">
            <w:rPr>
              <w:rFonts w:ascii="Times New Roman" w:hAnsi="Times New Roman" w:cs="Times New Roman"/>
              <w:b/>
              <w:bCs/>
              <w:sz w:val="24"/>
              <w:szCs w:val="24"/>
            </w:rPr>
            <w:t>Contents</w:t>
          </w:r>
        </w:p>
        <w:p w14:paraId="74E93104" w14:textId="77777777" w:rsidR="00D06467" w:rsidRPr="00A743A9" w:rsidRDefault="00D06467" w:rsidP="003B0196">
          <w:pPr>
            <w:spacing w:line="600" w:lineRule="auto"/>
            <w:rPr>
              <w:rFonts w:ascii="Times New Roman" w:hAnsi="Times New Roman" w:cs="Times New Roman"/>
              <w:sz w:val="24"/>
              <w:szCs w:val="24"/>
            </w:rPr>
          </w:pPr>
        </w:p>
        <w:p w14:paraId="121BA90D" w14:textId="7131B214" w:rsidR="003B0196" w:rsidRDefault="00B557FA" w:rsidP="003B0196">
          <w:pPr>
            <w:pStyle w:val="TOC1"/>
            <w:tabs>
              <w:tab w:val="right" w:leader="dot" w:pos="12950"/>
            </w:tabs>
            <w:spacing w:line="600" w:lineRule="auto"/>
            <w:rPr>
              <w:noProof/>
              <w:kern w:val="2"/>
              <w:sz w:val="24"/>
              <w:szCs w:val="24"/>
              <w:lang/>
              <w14:ligatures w14:val="standardContextual"/>
            </w:rPr>
          </w:pPr>
          <w:r w:rsidRPr="00A743A9">
            <w:rPr>
              <w:rFonts w:ascii="Times New Roman" w:hAnsi="Times New Roman" w:cs="Times New Roman"/>
              <w:sz w:val="24"/>
              <w:szCs w:val="24"/>
            </w:rPr>
            <w:fldChar w:fldCharType="begin"/>
          </w:r>
          <w:r w:rsidRPr="00A743A9">
            <w:rPr>
              <w:rFonts w:ascii="Times New Roman" w:hAnsi="Times New Roman" w:cs="Times New Roman"/>
              <w:sz w:val="24"/>
              <w:szCs w:val="24"/>
            </w:rPr>
            <w:instrText xml:space="preserve"> TOC \o "1-3" \h \z \u </w:instrText>
          </w:r>
          <w:r w:rsidRPr="00A743A9">
            <w:rPr>
              <w:rFonts w:ascii="Times New Roman" w:hAnsi="Times New Roman" w:cs="Times New Roman"/>
              <w:sz w:val="24"/>
              <w:szCs w:val="24"/>
            </w:rPr>
            <w:fldChar w:fldCharType="separate"/>
          </w:r>
          <w:hyperlink w:anchor="_Toc201755039" w:history="1">
            <w:r w:rsidR="003B0196" w:rsidRPr="009133EF">
              <w:rPr>
                <w:rStyle w:val="Hyperlink"/>
                <w:b/>
                <w:bCs/>
                <w:noProof/>
              </w:rPr>
              <w:t xml:space="preserve">Key Labour Market Indicators </w:t>
            </w:r>
            <w:r w:rsidR="003B0196" w:rsidRPr="009133EF">
              <w:rPr>
                <w:rStyle w:val="Hyperlink"/>
                <w:rFonts w:ascii="Times New Roman" w:hAnsi="Times New Roman" w:cs="Times New Roman"/>
                <w:b/>
                <w:bCs/>
                <w:noProof/>
              </w:rPr>
              <w:t>and Formulas</w:t>
            </w:r>
            <w:r w:rsidR="003B0196">
              <w:rPr>
                <w:noProof/>
                <w:webHidden/>
              </w:rPr>
              <w:tab/>
            </w:r>
            <w:r w:rsidR="003B0196">
              <w:rPr>
                <w:noProof/>
                <w:webHidden/>
              </w:rPr>
              <w:fldChar w:fldCharType="begin"/>
            </w:r>
            <w:r w:rsidR="003B0196">
              <w:rPr>
                <w:noProof/>
                <w:webHidden/>
              </w:rPr>
              <w:instrText xml:space="preserve"> PAGEREF _Toc201755039 \h </w:instrText>
            </w:r>
            <w:r w:rsidR="003B0196">
              <w:rPr>
                <w:noProof/>
                <w:webHidden/>
              </w:rPr>
            </w:r>
            <w:r w:rsidR="003B0196">
              <w:rPr>
                <w:noProof/>
                <w:webHidden/>
              </w:rPr>
              <w:fldChar w:fldCharType="separate"/>
            </w:r>
            <w:r w:rsidR="003572FF">
              <w:rPr>
                <w:noProof/>
                <w:webHidden/>
              </w:rPr>
              <w:t>3</w:t>
            </w:r>
            <w:r w:rsidR="003B0196">
              <w:rPr>
                <w:noProof/>
                <w:webHidden/>
              </w:rPr>
              <w:fldChar w:fldCharType="end"/>
            </w:r>
          </w:hyperlink>
        </w:p>
        <w:p w14:paraId="4A310906" w14:textId="78A4E7B7" w:rsidR="003B0196" w:rsidRDefault="003B0196" w:rsidP="003B0196">
          <w:pPr>
            <w:pStyle w:val="TOC1"/>
            <w:tabs>
              <w:tab w:val="right" w:leader="dot" w:pos="12950"/>
            </w:tabs>
            <w:spacing w:line="600" w:lineRule="auto"/>
            <w:rPr>
              <w:noProof/>
              <w:kern w:val="2"/>
              <w:sz w:val="24"/>
              <w:szCs w:val="24"/>
              <w:lang/>
              <w14:ligatures w14:val="standardContextual"/>
            </w:rPr>
          </w:pPr>
          <w:hyperlink w:anchor="_Toc201755040" w:history="1">
            <w:r w:rsidRPr="009133EF">
              <w:rPr>
                <w:rStyle w:val="Hyperlink"/>
                <w:b/>
                <w:bCs/>
                <w:noProof/>
                <w:lang/>
              </w:rPr>
              <w:t>EMPLOYED LABOUR FORCE</w:t>
            </w:r>
            <w:r>
              <w:rPr>
                <w:noProof/>
                <w:webHidden/>
              </w:rPr>
              <w:tab/>
            </w:r>
            <w:r>
              <w:rPr>
                <w:noProof/>
                <w:webHidden/>
              </w:rPr>
              <w:fldChar w:fldCharType="begin"/>
            </w:r>
            <w:r>
              <w:rPr>
                <w:noProof/>
                <w:webHidden/>
              </w:rPr>
              <w:instrText xml:space="preserve"> PAGEREF _Toc201755040 \h </w:instrText>
            </w:r>
            <w:r>
              <w:rPr>
                <w:noProof/>
                <w:webHidden/>
              </w:rPr>
            </w:r>
            <w:r>
              <w:rPr>
                <w:noProof/>
                <w:webHidden/>
              </w:rPr>
              <w:fldChar w:fldCharType="separate"/>
            </w:r>
            <w:r w:rsidR="003572FF">
              <w:rPr>
                <w:noProof/>
                <w:webHidden/>
              </w:rPr>
              <w:t>6</w:t>
            </w:r>
            <w:r>
              <w:rPr>
                <w:noProof/>
                <w:webHidden/>
              </w:rPr>
              <w:fldChar w:fldCharType="end"/>
            </w:r>
          </w:hyperlink>
        </w:p>
        <w:p w14:paraId="563418F3" w14:textId="4A1943F0" w:rsidR="003B0196" w:rsidRDefault="003B0196" w:rsidP="003B0196">
          <w:pPr>
            <w:pStyle w:val="TOC1"/>
            <w:tabs>
              <w:tab w:val="right" w:leader="dot" w:pos="12950"/>
            </w:tabs>
            <w:spacing w:line="600" w:lineRule="auto"/>
            <w:rPr>
              <w:noProof/>
              <w:kern w:val="2"/>
              <w:sz w:val="24"/>
              <w:szCs w:val="24"/>
              <w:lang/>
              <w14:ligatures w14:val="standardContextual"/>
            </w:rPr>
          </w:pPr>
          <w:hyperlink w:anchor="_Toc201755041" w:history="1">
            <w:r w:rsidRPr="009133EF">
              <w:rPr>
                <w:rStyle w:val="Hyperlink"/>
                <w:b/>
                <w:bCs/>
                <w:noProof/>
                <w:lang/>
              </w:rPr>
              <w:t>UNEMPLOYED LABOUR FORCE</w:t>
            </w:r>
            <w:r>
              <w:rPr>
                <w:noProof/>
                <w:webHidden/>
              </w:rPr>
              <w:tab/>
            </w:r>
            <w:r>
              <w:rPr>
                <w:noProof/>
                <w:webHidden/>
              </w:rPr>
              <w:fldChar w:fldCharType="begin"/>
            </w:r>
            <w:r>
              <w:rPr>
                <w:noProof/>
                <w:webHidden/>
              </w:rPr>
              <w:instrText xml:space="preserve"> PAGEREF _Toc201755041 \h </w:instrText>
            </w:r>
            <w:r>
              <w:rPr>
                <w:noProof/>
                <w:webHidden/>
              </w:rPr>
            </w:r>
            <w:r>
              <w:rPr>
                <w:noProof/>
                <w:webHidden/>
              </w:rPr>
              <w:fldChar w:fldCharType="separate"/>
            </w:r>
            <w:r w:rsidR="003572FF">
              <w:rPr>
                <w:noProof/>
                <w:webHidden/>
              </w:rPr>
              <w:t>11</w:t>
            </w:r>
            <w:r>
              <w:rPr>
                <w:noProof/>
                <w:webHidden/>
              </w:rPr>
              <w:fldChar w:fldCharType="end"/>
            </w:r>
          </w:hyperlink>
        </w:p>
        <w:p w14:paraId="27AE0017" w14:textId="0DE571A8" w:rsidR="003B0196" w:rsidRDefault="003B0196" w:rsidP="003B0196">
          <w:pPr>
            <w:pStyle w:val="TOC1"/>
            <w:tabs>
              <w:tab w:val="right" w:leader="dot" w:pos="12950"/>
            </w:tabs>
            <w:spacing w:line="600" w:lineRule="auto"/>
            <w:rPr>
              <w:noProof/>
              <w:kern w:val="2"/>
              <w:sz w:val="24"/>
              <w:szCs w:val="24"/>
              <w:lang/>
              <w14:ligatures w14:val="standardContextual"/>
            </w:rPr>
          </w:pPr>
          <w:hyperlink w:anchor="_Toc201755042" w:history="1">
            <w:r w:rsidRPr="009133EF">
              <w:rPr>
                <w:rStyle w:val="Hyperlink"/>
                <w:rFonts w:eastAsia="Times New Roman"/>
                <w:b/>
                <w:bCs/>
                <w:noProof/>
              </w:rPr>
              <w:t>Statistical Output</w:t>
            </w:r>
            <w:r>
              <w:rPr>
                <w:noProof/>
                <w:webHidden/>
              </w:rPr>
              <w:tab/>
            </w:r>
            <w:r>
              <w:rPr>
                <w:noProof/>
                <w:webHidden/>
              </w:rPr>
              <w:fldChar w:fldCharType="begin"/>
            </w:r>
            <w:r>
              <w:rPr>
                <w:noProof/>
                <w:webHidden/>
              </w:rPr>
              <w:instrText xml:space="preserve"> PAGEREF _Toc201755042 \h </w:instrText>
            </w:r>
            <w:r>
              <w:rPr>
                <w:noProof/>
                <w:webHidden/>
              </w:rPr>
            </w:r>
            <w:r>
              <w:rPr>
                <w:noProof/>
                <w:webHidden/>
              </w:rPr>
              <w:fldChar w:fldCharType="separate"/>
            </w:r>
            <w:r w:rsidR="003572FF">
              <w:rPr>
                <w:noProof/>
                <w:webHidden/>
              </w:rPr>
              <w:t>12</w:t>
            </w:r>
            <w:r>
              <w:rPr>
                <w:noProof/>
                <w:webHidden/>
              </w:rPr>
              <w:fldChar w:fldCharType="end"/>
            </w:r>
          </w:hyperlink>
        </w:p>
        <w:p w14:paraId="37379342" w14:textId="594635B7" w:rsidR="00B557FA" w:rsidRPr="00955DF7" w:rsidRDefault="00B557FA" w:rsidP="003B0196">
          <w:pPr>
            <w:spacing w:line="600" w:lineRule="auto"/>
            <w:rPr>
              <w:rFonts w:ascii="Times New Roman" w:hAnsi="Times New Roman" w:cs="Times New Roman"/>
              <w:sz w:val="24"/>
              <w:szCs w:val="24"/>
            </w:rPr>
          </w:pPr>
          <w:r w:rsidRPr="00A743A9">
            <w:rPr>
              <w:rFonts w:ascii="Times New Roman" w:hAnsi="Times New Roman" w:cs="Times New Roman"/>
              <w:b/>
              <w:bCs/>
              <w:noProof/>
              <w:sz w:val="24"/>
              <w:szCs w:val="24"/>
            </w:rPr>
            <w:fldChar w:fldCharType="end"/>
          </w:r>
        </w:p>
      </w:sdtContent>
    </w:sdt>
    <w:p w14:paraId="599259E6" w14:textId="77777777" w:rsidR="00160A53" w:rsidRDefault="00F865F8" w:rsidP="00160A53">
      <w:pPr>
        <w:spacing w:line="600" w:lineRule="auto"/>
        <w:rPr>
          <w:rFonts w:ascii="Times New Roman" w:hAnsi="Times New Roman" w:cs="Times New Roman"/>
          <w:b/>
          <w:bCs/>
          <w:i/>
          <w:iCs/>
          <w:sz w:val="24"/>
          <w:szCs w:val="24"/>
          <w:lang/>
        </w:rPr>
      </w:pPr>
      <w:r w:rsidRPr="00955DF7">
        <w:rPr>
          <w:rFonts w:ascii="Times New Roman" w:hAnsi="Times New Roman" w:cs="Times New Roman"/>
          <w:b/>
          <w:bCs/>
          <w:i/>
          <w:iCs/>
          <w:sz w:val="24"/>
          <w:szCs w:val="24"/>
          <w:lang/>
        </w:rPr>
        <w:t> </w:t>
      </w:r>
    </w:p>
    <w:p w14:paraId="2F29E691" w14:textId="77777777" w:rsidR="00A743A9" w:rsidRDefault="00A743A9" w:rsidP="00160A53">
      <w:pPr>
        <w:spacing w:line="600" w:lineRule="auto"/>
        <w:rPr>
          <w:rFonts w:ascii="Times New Roman" w:hAnsi="Times New Roman" w:cs="Times New Roman"/>
          <w:b/>
          <w:bCs/>
          <w:i/>
          <w:iCs/>
          <w:sz w:val="24"/>
          <w:szCs w:val="24"/>
          <w:lang/>
        </w:rPr>
      </w:pPr>
    </w:p>
    <w:p w14:paraId="262018DF" w14:textId="77777777" w:rsidR="00A743A9" w:rsidRDefault="00A743A9" w:rsidP="00160A53">
      <w:pPr>
        <w:spacing w:line="600" w:lineRule="auto"/>
        <w:rPr>
          <w:rFonts w:ascii="Times New Roman" w:hAnsi="Times New Roman" w:cs="Times New Roman"/>
          <w:b/>
          <w:bCs/>
          <w:i/>
          <w:iCs/>
          <w:sz w:val="24"/>
          <w:szCs w:val="24"/>
          <w:lang/>
        </w:rPr>
      </w:pPr>
    </w:p>
    <w:p w14:paraId="61978D85" w14:textId="77777777" w:rsidR="00A743A9" w:rsidRPr="00955DF7" w:rsidRDefault="00A743A9" w:rsidP="00160A53">
      <w:pPr>
        <w:spacing w:line="600" w:lineRule="auto"/>
        <w:rPr>
          <w:rFonts w:ascii="Times New Roman" w:hAnsi="Times New Roman" w:cs="Times New Roman"/>
          <w:b/>
          <w:bCs/>
          <w:i/>
          <w:iCs/>
          <w:sz w:val="24"/>
          <w:szCs w:val="24"/>
          <w:lang/>
        </w:rPr>
      </w:pPr>
    </w:p>
    <w:p w14:paraId="486ADCCD" w14:textId="77777777" w:rsidR="00160A53" w:rsidRPr="00955DF7" w:rsidRDefault="00160A53" w:rsidP="00160A53">
      <w:pPr>
        <w:spacing w:line="600" w:lineRule="auto"/>
        <w:rPr>
          <w:rFonts w:ascii="Times New Roman" w:hAnsi="Times New Roman" w:cs="Times New Roman"/>
          <w:b/>
          <w:bCs/>
          <w:i/>
          <w:iCs/>
          <w:sz w:val="24"/>
          <w:szCs w:val="24"/>
          <w:lang/>
        </w:rPr>
      </w:pPr>
    </w:p>
    <w:p w14:paraId="5FEF47E6" w14:textId="4D628F02" w:rsidR="00A33120" w:rsidRPr="00C70AC7" w:rsidRDefault="000B48A7" w:rsidP="00A743A9">
      <w:pPr>
        <w:pStyle w:val="Heading1"/>
        <w:rPr>
          <w:b/>
          <w:bCs/>
          <w:sz w:val="24"/>
          <w:szCs w:val="24"/>
        </w:rPr>
      </w:pPr>
      <w:bookmarkStart w:id="3" w:name="_Toc201755039"/>
      <w:r w:rsidRPr="00C70AC7">
        <w:rPr>
          <w:b/>
          <w:bCs/>
          <w:sz w:val="24"/>
          <w:szCs w:val="24"/>
        </w:rPr>
        <w:lastRenderedPageBreak/>
        <w:t xml:space="preserve">Key Labour Market Indicators </w:t>
      </w:r>
      <w:r w:rsidR="003B0196" w:rsidRPr="00C70AC7">
        <w:rPr>
          <w:rFonts w:ascii="Times New Roman" w:hAnsi="Times New Roman" w:cs="Times New Roman"/>
          <w:b/>
          <w:bCs/>
          <w:sz w:val="24"/>
          <w:szCs w:val="24"/>
        </w:rPr>
        <w:t>and Formulas</w:t>
      </w:r>
      <w:bookmarkEnd w:id="3"/>
    </w:p>
    <w:p w14:paraId="5610496D" w14:textId="77777777" w:rsidR="003B0196" w:rsidRPr="0022630A" w:rsidRDefault="003B0196" w:rsidP="003B0196">
      <w:pPr>
        <w:spacing w:line="360" w:lineRule="auto"/>
        <w:jc w:val="both"/>
        <w:rPr>
          <w:rFonts w:ascii="Times New Roman" w:hAnsi="Times New Roman" w:cs="Times New Roman"/>
          <w:b/>
          <w:bCs/>
          <w:sz w:val="20"/>
          <w:szCs w:val="20"/>
          <w:lang/>
        </w:rPr>
      </w:pPr>
      <w:r w:rsidRPr="0022630A">
        <w:rPr>
          <w:rFonts w:ascii="Times New Roman" w:hAnsi="Times New Roman" w:cs="Times New Roman"/>
          <w:b/>
          <w:bCs/>
          <w:i/>
          <w:iCs/>
          <w:sz w:val="20"/>
          <w:szCs w:val="20"/>
          <w:lang/>
        </w:rPr>
        <w:t>The following are the international standard definitions of the main concepts underlying the unemployment rate, as stated in the Resolution concerning statistics of work, employment and labour underutilization adopted by the 19th International Conference of Labour Statisticians in 2013.</w:t>
      </w:r>
    </w:p>
    <w:p w14:paraId="49DDB4A9" w14:textId="77777777" w:rsidR="003B0196" w:rsidRPr="0022630A" w:rsidRDefault="003B0196" w:rsidP="003B0196">
      <w:pPr>
        <w:pStyle w:val="ListParagraph"/>
        <w:numPr>
          <w:ilvl w:val="0"/>
          <w:numId w:val="25"/>
        </w:numPr>
        <w:spacing w:line="360" w:lineRule="auto"/>
        <w:jc w:val="both"/>
        <w:rPr>
          <w:rFonts w:ascii="Times New Roman" w:hAnsi="Times New Roman" w:cs="Times New Roman"/>
          <w:b/>
          <w:bCs/>
          <w:i/>
          <w:iCs/>
          <w:sz w:val="20"/>
          <w:szCs w:val="20"/>
        </w:rPr>
      </w:pPr>
      <w:r w:rsidRPr="0022630A">
        <w:rPr>
          <w:rFonts w:ascii="Times New Roman" w:hAnsi="Times New Roman" w:cs="Times New Roman"/>
          <w:b/>
          <w:bCs/>
          <w:i/>
          <w:iCs/>
          <w:sz w:val="20"/>
          <w:szCs w:val="20"/>
          <w:lang/>
        </w:rPr>
        <w:t xml:space="preserve">Labour force: </w:t>
      </w:r>
      <w:r w:rsidRPr="0022630A">
        <w:rPr>
          <w:rFonts w:ascii="Times New Roman" w:hAnsi="Times New Roman" w:cs="Times New Roman"/>
          <w:i/>
          <w:iCs/>
          <w:sz w:val="20"/>
          <w:szCs w:val="20"/>
          <w:lang/>
        </w:rPr>
        <w:t>The current supply of labour for the production of goods and services in exchange for pay or profit, computed as the sum of persons in employment and in unemployment.</w:t>
      </w:r>
    </w:p>
    <w:p w14:paraId="59689DF8" w14:textId="77777777" w:rsidR="003B0196" w:rsidRPr="0022630A" w:rsidRDefault="003B0196" w:rsidP="003B0196">
      <w:pPr>
        <w:pStyle w:val="ListParagraph"/>
        <w:spacing w:line="360" w:lineRule="auto"/>
        <w:ind w:left="1440"/>
        <w:jc w:val="both"/>
        <w:rPr>
          <w:rFonts w:ascii="Times New Roman" w:hAnsi="Times New Roman" w:cs="Times New Roman"/>
          <w:b/>
          <w:bCs/>
          <w:i/>
          <w:iCs/>
          <w:sz w:val="20"/>
          <w:szCs w:val="20"/>
        </w:rPr>
      </w:pPr>
      <w:r w:rsidRPr="0022630A">
        <w:rPr>
          <w:rFonts w:ascii="Times New Roman" w:hAnsi="Times New Roman" w:cs="Times New Roman"/>
          <w:b/>
          <w:bCs/>
          <w:i/>
          <w:iCs/>
          <w:sz w:val="20"/>
          <w:szCs w:val="20"/>
        </w:rPr>
        <w:t>Labour Force = Employed Labour Force + Unemployed</w:t>
      </w:r>
    </w:p>
    <w:p w14:paraId="1D81267C" w14:textId="77777777" w:rsidR="003B0196" w:rsidRPr="0022630A" w:rsidRDefault="003B0196" w:rsidP="003B0196">
      <w:pPr>
        <w:pStyle w:val="ListParagraph"/>
        <w:numPr>
          <w:ilvl w:val="0"/>
          <w:numId w:val="25"/>
        </w:numPr>
        <w:spacing w:line="360" w:lineRule="auto"/>
        <w:jc w:val="both"/>
        <w:rPr>
          <w:rFonts w:ascii="Times New Roman" w:hAnsi="Times New Roman" w:cs="Times New Roman"/>
          <w:i/>
          <w:iCs/>
          <w:sz w:val="20"/>
          <w:szCs w:val="20"/>
        </w:rPr>
      </w:pPr>
      <w:r w:rsidRPr="0022630A">
        <w:rPr>
          <w:rFonts w:ascii="Times New Roman" w:hAnsi="Times New Roman" w:cs="Times New Roman"/>
          <w:b/>
          <w:bCs/>
          <w:i/>
          <w:iCs/>
          <w:sz w:val="20"/>
          <w:szCs w:val="20"/>
        </w:rPr>
        <w:t>Labour Force Participation Rate: </w:t>
      </w:r>
      <w:r w:rsidRPr="0022630A">
        <w:rPr>
          <w:rFonts w:ascii="Times New Roman" w:hAnsi="Times New Roman" w:cs="Times New Roman"/>
          <w:i/>
          <w:iCs/>
          <w:sz w:val="20"/>
          <w:szCs w:val="20"/>
        </w:rPr>
        <w:t xml:space="preserve">is the percentage of a country's working-age population that is either employed or actively looking for work:  </w:t>
      </w:r>
    </w:p>
    <w:p w14:paraId="7EAE3264" w14:textId="77777777" w:rsidR="003B0196" w:rsidRPr="0022630A" w:rsidRDefault="003B0196" w:rsidP="003B0196">
      <w:pPr>
        <w:pStyle w:val="ListParagraph"/>
        <w:spacing w:line="360" w:lineRule="auto"/>
        <w:ind w:left="1440"/>
        <w:jc w:val="both"/>
        <w:rPr>
          <w:rFonts w:ascii="Times New Roman" w:hAnsi="Times New Roman" w:cs="Times New Roman"/>
          <w:b/>
          <w:bCs/>
          <w:i/>
          <w:iCs/>
          <w:sz w:val="20"/>
          <w:szCs w:val="20"/>
        </w:rPr>
      </w:pPr>
      <w:r w:rsidRPr="0022630A">
        <w:rPr>
          <w:rFonts w:ascii="Times New Roman" w:hAnsi="Times New Roman" w:cs="Times New Roman"/>
          <w:b/>
          <w:bCs/>
          <w:i/>
          <w:iCs/>
          <w:sz w:val="20"/>
          <w:szCs w:val="20"/>
        </w:rPr>
        <w:t xml:space="preserve">Labour Force Participation Rate     = Labour Force X 100 / Population 15 years and over  </w:t>
      </w:r>
    </w:p>
    <w:p w14:paraId="7BD0343D" w14:textId="77777777" w:rsidR="003B0196" w:rsidRPr="0022630A" w:rsidRDefault="003B0196" w:rsidP="003B0196">
      <w:pPr>
        <w:pStyle w:val="ListParagraph"/>
        <w:numPr>
          <w:ilvl w:val="0"/>
          <w:numId w:val="25"/>
        </w:numPr>
        <w:spacing w:line="360" w:lineRule="auto"/>
        <w:jc w:val="both"/>
        <w:rPr>
          <w:rFonts w:ascii="Times New Roman" w:hAnsi="Times New Roman" w:cs="Times New Roman"/>
          <w:i/>
          <w:iCs/>
          <w:sz w:val="20"/>
          <w:szCs w:val="20"/>
          <w:lang/>
        </w:rPr>
      </w:pPr>
      <w:r w:rsidRPr="0022630A">
        <w:rPr>
          <w:rFonts w:ascii="Times New Roman" w:hAnsi="Times New Roman" w:cs="Times New Roman"/>
          <w:b/>
          <w:bCs/>
          <w:i/>
          <w:iCs/>
          <w:sz w:val="20"/>
          <w:szCs w:val="20"/>
          <w:lang/>
        </w:rPr>
        <w:t>Employment:</w:t>
      </w:r>
      <w:r w:rsidRPr="0022630A">
        <w:rPr>
          <w:rFonts w:ascii="Times New Roman" w:hAnsi="Times New Roman" w:cs="Times New Roman"/>
          <w:b/>
          <w:bCs/>
          <w:i/>
          <w:iCs/>
          <w:sz w:val="20"/>
          <w:szCs w:val="20"/>
        </w:rPr>
        <w:t xml:space="preserve"> </w:t>
      </w:r>
      <w:r w:rsidRPr="0022630A">
        <w:rPr>
          <w:rFonts w:ascii="Times New Roman" w:hAnsi="Times New Roman" w:cs="Times New Roman"/>
          <w:i/>
          <w:iCs/>
          <w:sz w:val="20"/>
          <w:szCs w:val="20"/>
          <w:lang/>
        </w:rPr>
        <w:t>A person in employment as defined by the International Labour Office (ILO) is a person aged 15 or over who has done at least one hour's paid work in a given week, or who is absent from work for certain reasons (annual leave, sickness, maternity, etc.) and for a certain period of time. All forms of employment are covered (employees, self-employed, family helpers), whether the employment is declared or not.</w:t>
      </w:r>
    </w:p>
    <w:p w14:paraId="7D71098F" w14:textId="77777777" w:rsidR="003B0196" w:rsidRPr="0022630A" w:rsidRDefault="003B0196" w:rsidP="003B0196">
      <w:pPr>
        <w:pStyle w:val="ListParagraph"/>
        <w:spacing w:line="360" w:lineRule="auto"/>
        <w:jc w:val="both"/>
        <w:rPr>
          <w:rFonts w:ascii="Times New Roman" w:hAnsi="Times New Roman" w:cs="Times New Roman"/>
          <w:sz w:val="20"/>
          <w:szCs w:val="20"/>
          <w:lang/>
        </w:rPr>
      </w:pPr>
      <w:r w:rsidRPr="0022630A">
        <w:rPr>
          <w:rFonts w:ascii="Times New Roman" w:hAnsi="Times New Roman" w:cs="Times New Roman"/>
          <w:i/>
          <w:iCs/>
          <w:sz w:val="20"/>
          <w:szCs w:val="20"/>
          <w:lang/>
        </w:rPr>
        <w:t>The unemployment rate is computed as follows:</w:t>
      </w:r>
    </w:p>
    <w:p w14:paraId="7488A776" w14:textId="77777777" w:rsidR="003B0196" w:rsidRPr="0022630A" w:rsidRDefault="003B0196" w:rsidP="003B0196">
      <w:pPr>
        <w:pStyle w:val="ListParagraph"/>
        <w:spacing w:line="360" w:lineRule="auto"/>
        <w:ind w:left="1440"/>
        <w:jc w:val="both"/>
        <w:rPr>
          <w:rFonts w:ascii="Times New Roman" w:hAnsi="Times New Roman" w:cs="Times New Roman"/>
          <w:b/>
          <w:bCs/>
          <w:sz w:val="20"/>
          <w:szCs w:val="20"/>
          <w:lang/>
        </w:rPr>
      </w:pPr>
      <w:r w:rsidRPr="0022630A">
        <w:rPr>
          <w:rFonts w:ascii="Times New Roman" w:hAnsi="Times New Roman" w:cs="Times New Roman"/>
          <w:b/>
          <w:bCs/>
          <w:i/>
          <w:iCs/>
          <w:sz w:val="20"/>
          <w:szCs w:val="20"/>
        </w:rPr>
        <w:t xml:space="preserve">Employment rate: The percentage of the working-age population that is employed:     </w:t>
      </w:r>
    </w:p>
    <w:p w14:paraId="398D4517" w14:textId="77777777" w:rsidR="003B0196" w:rsidRPr="0022630A" w:rsidRDefault="003B0196" w:rsidP="003B0196">
      <w:pPr>
        <w:pStyle w:val="ListParagraph"/>
        <w:spacing w:line="360" w:lineRule="auto"/>
        <w:ind w:left="1440"/>
        <w:jc w:val="both"/>
        <w:rPr>
          <w:rFonts w:ascii="Times New Roman" w:hAnsi="Times New Roman" w:cs="Times New Roman"/>
          <w:b/>
          <w:bCs/>
          <w:i/>
          <w:iCs/>
          <w:sz w:val="20"/>
          <w:szCs w:val="20"/>
        </w:rPr>
      </w:pPr>
      <w:r w:rsidRPr="0022630A">
        <w:rPr>
          <w:rFonts w:ascii="Times New Roman" w:hAnsi="Times New Roman" w:cs="Times New Roman"/>
          <w:b/>
          <w:bCs/>
          <w:i/>
          <w:iCs/>
          <w:sz w:val="20"/>
          <w:szCs w:val="20"/>
        </w:rPr>
        <w:t xml:space="preserve">   Employment rate=Number of employed individuals/Total labour force (times 100)</w:t>
      </w:r>
    </w:p>
    <w:p w14:paraId="7BA05A7E" w14:textId="77777777" w:rsidR="003B0196" w:rsidRPr="0022630A" w:rsidRDefault="003B0196" w:rsidP="003B0196">
      <w:pPr>
        <w:pStyle w:val="ListParagraph"/>
        <w:numPr>
          <w:ilvl w:val="0"/>
          <w:numId w:val="25"/>
        </w:numPr>
        <w:shd w:val="clear" w:color="auto" w:fill="FFFFFF"/>
        <w:spacing w:after="150" w:line="360" w:lineRule="auto"/>
        <w:jc w:val="both"/>
        <w:rPr>
          <w:rFonts w:ascii="Times New Roman" w:eastAsia="Times New Roman" w:hAnsi="Times New Roman" w:cs="Times New Roman"/>
          <w:b/>
          <w:bCs/>
          <w:color w:val="001D35"/>
          <w:sz w:val="20"/>
          <w:szCs w:val="20"/>
          <w:lang/>
        </w:rPr>
      </w:pPr>
      <w:r w:rsidRPr="0022630A">
        <w:rPr>
          <w:rFonts w:ascii="Times New Roman" w:hAnsi="Times New Roman" w:cs="Times New Roman"/>
          <w:b/>
          <w:bCs/>
          <w:i/>
          <w:iCs/>
          <w:sz w:val="20"/>
          <w:szCs w:val="20"/>
          <w:lang/>
        </w:rPr>
        <w:t xml:space="preserve">Unemployment: </w:t>
      </w:r>
      <w:r w:rsidRPr="0022630A">
        <w:rPr>
          <w:rFonts w:ascii="Times New Roman" w:eastAsia="Times New Roman" w:hAnsi="Times New Roman" w:cs="Times New Roman"/>
          <w:color w:val="001D35"/>
          <w:sz w:val="20"/>
          <w:szCs w:val="20"/>
          <w:lang/>
        </w:rPr>
        <w:t xml:space="preserve">According to </w:t>
      </w:r>
      <w:r w:rsidRPr="0022630A">
        <w:rPr>
          <w:rFonts w:ascii="Times New Roman" w:eastAsia="Times New Roman" w:hAnsi="Times New Roman" w:cs="Times New Roman"/>
          <w:sz w:val="20"/>
          <w:szCs w:val="20"/>
          <w:lang/>
        </w:rPr>
        <w:t>the International Labour Organization (ILO), unemployment is defined as a person who meets the following criteria</w:t>
      </w:r>
      <w:r w:rsidRPr="0022630A">
        <w:rPr>
          <w:rFonts w:ascii="Times New Roman" w:eastAsia="Times New Roman" w:hAnsi="Times New Roman" w:cs="Times New Roman"/>
          <w:b/>
          <w:bCs/>
          <w:sz w:val="20"/>
          <w:szCs w:val="20"/>
          <w:lang/>
        </w:rPr>
        <w:t>: </w:t>
      </w:r>
    </w:p>
    <w:p w14:paraId="51BC9D7E" w14:textId="77777777" w:rsidR="003B0196" w:rsidRPr="0022630A" w:rsidRDefault="003B0196" w:rsidP="003B0196">
      <w:pPr>
        <w:pStyle w:val="ListParagraph"/>
        <w:numPr>
          <w:ilvl w:val="0"/>
          <w:numId w:val="29"/>
        </w:numPr>
        <w:shd w:val="clear" w:color="auto" w:fill="FFFFFF"/>
        <w:spacing w:after="120" w:line="360" w:lineRule="auto"/>
        <w:jc w:val="both"/>
        <w:rPr>
          <w:rFonts w:ascii="Times New Roman" w:eastAsia="Times New Roman" w:hAnsi="Times New Roman" w:cs="Times New Roman"/>
          <w:b/>
          <w:bCs/>
          <w:i/>
          <w:iCs/>
          <w:sz w:val="20"/>
          <w:szCs w:val="20"/>
          <w:lang/>
        </w:rPr>
      </w:pPr>
      <w:r w:rsidRPr="0022630A">
        <w:rPr>
          <w:rFonts w:ascii="Times New Roman" w:eastAsia="Times New Roman" w:hAnsi="Times New Roman" w:cs="Times New Roman"/>
          <w:b/>
          <w:bCs/>
          <w:i/>
          <w:iCs/>
          <w:color w:val="001D35"/>
          <w:sz w:val="20"/>
          <w:szCs w:val="20"/>
          <w:lang/>
        </w:rPr>
        <w:t>Is at least 15 years old</w:t>
      </w:r>
    </w:p>
    <w:p w14:paraId="4BF2BF38" w14:textId="77777777" w:rsidR="003B0196" w:rsidRPr="0022630A" w:rsidRDefault="003B0196" w:rsidP="003B0196">
      <w:pPr>
        <w:pStyle w:val="ListParagraph"/>
        <w:numPr>
          <w:ilvl w:val="0"/>
          <w:numId w:val="29"/>
        </w:numPr>
        <w:shd w:val="clear" w:color="auto" w:fill="FFFFFF"/>
        <w:spacing w:after="120" w:line="360" w:lineRule="auto"/>
        <w:jc w:val="both"/>
        <w:rPr>
          <w:rFonts w:ascii="Times New Roman" w:eastAsia="Times New Roman" w:hAnsi="Times New Roman" w:cs="Times New Roman"/>
          <w:b/>
          <w:bCs/>
          <w:i/>
          <w:iCs/>
          <w:color w:val="001D35"/>
          <w:sz w:val="20"/>
          <w:szCs w:val="20"/>
          <w:lang/>
        </w:rPr>
      </w:pPr>
      <w:r w:rsidRPr="0022630A">
        <w:rPr>
          <w:rFonts w:ascii="Times New Roman" w:eastAsia="Times New Roman" w:hAnsi="Times New Roman" w:cs="Times New Roman"/>
          <w:b/>
          <w:bCs/>
          <w:i/>
          <w:iCs/>
          <w:color w:val="001D35"/>
          <w:sz w:val="20"/>
          <w:szCs w:val="20"/>
          <w:lang/>
        </w:rPr>
        <w:t>Is not employed during a given week</w:t>
      </w:r>
    </w:p>
    <w:p w14:paraId="3A9E9605" w14:textId="77777777" w:rsidR="003B0196" w:rsidRPr="0022630A" w:rsidRDefault="003B0196" w:rsidP="003B0196">
      <w:pPr>
        <w:pStyle w:val="ListParagraph"/>
        <w:numPr>
          <w:ilvl w:val="0"/>
          <w:numId w:val="29"/>
        </w:numPr>
        <w:shd w:val="clear" w:color="auto" w:fill="FFFFFF"/>
        <w:spacing w:after="120" w:line="360" w:lineRule="auto"/>
        <w:jc w:val="both"/>
        <w:rPr>
          <w:rFonts w:ascii="Times New Roman" w:eastAsia="Times New Roman" w:hAnsi="Times New Roman" w:cs="Times New Roman"/>
          <w:b/>
          <w:bCs/>
          <w:i/>
          <w:iCs/>
          <w:color w:val="001D35"/>
          <w:sz w:val="20"/>
          <w:szCs w:val="20"/>
          <w:lang/>
        </w:rPr>
      </w:pPr>
      <w:r w:rsidRPr="0022630A">
        <w:rPr>
          <w:rFonts w:ascii="Times New Roman" w:eastAsia="Times New Roman" w:hAnsi="Times New Roman" w:cs="Times New Roman"/>
          <w:b/>
          <w:bCs/>
          <w:i/>
          <w:iCs/>
          <w:color w:val="001D35"/>
          <w:sz w:val="20"/>
          <w:szCs w:val="20"/>
          <w:lang/>
        </w:rPr>
        <w:t>Is available to work within two weeks</w:t>
      </w:r>
    </w:p>
    <w:p w14:paraId="70EE0D03" w14:textId="77777777" w:rsidR="003B0196" w:rsidRPr="0022630A" w:rsidRDefault="003B0196" w:rsidP="003B0196">
      <w:pPr>
        <w:pStyle w:val="ListParagraph"/>
        <w:numPr>
          <w:ilvl w:val="0"/>
          <w:numId w:val="29"/>
        </w:numPr>
        <w:shd w:val="clear" w:color="auto" w:fill="FFFFFF"/>
        <w:spacing w:after="0" w:line="360" w:lineRule="auto"/>
        <w:jc w:val="both"/>
        <w:rPr>
          <w:rFonts w:ascii="Times New Roman" w:eastAsia="Times New Roman" w:hAnsi="Times New Roman" w:cs="Times New Roman"/>
          <w:b/>
          <w:bCs/>
          <w:i/>
          <w:iCs/>
          <w:color w:val="001D35"/>
          <w:sz w:val="20"/>
          <w:szCs w:val="20"/>
          <w:lang/>
        </w:rPr>
      </w:pPr>
      <w:r w:rsidRPr="0022630A">
        <w:rPr>
          <w:rFonts w:ascii="Times New Roman" w:eastAsia="Times New Roman" w:hAnsi="Times New Roman" w:cs="Times New Roman"/>
          <w:b/>
          <w:bCs/>
          <w:i/>
          <w:iCs/>
          <w:color w:val="001D35"/>
          <w:sz w:val="20"/>
          <w:szCs w:val="20"/>
          <w:lang/>
        </w:rPr>
        <w:t>Has actively sought work in the last four weeks or has found a job that starts within three months</w:t>
      </w:r>
    </w:p>
    <w:p w14:paraId="77762C10" w14:textId="77777777" w:rsidR="003B0196" w:rsidRPr="0022630A" w:rsidRDefault="003B0196" w:rsidP="003B0196">
      <w:pPr>
        <w:pStyle w:val="ListParagraph"/>
        <w:spacing w:line="360" w:lineRule="auto"/>
        <w:jc w:val="both"/>
        <w:rPr>
          <w:rFonts w:ascii="Times New Roman" w:hAnsi="Times New Roman" w:cs="Times New Roman"/>
          <w:sz w:val="20"/>
          <w:szCs w:val="20"/>
          <w:lang/>
        </w:rPr>
      </w:pPr>
      <w:r w:rsidRPr="0022630A">
        <w:rPr>
          <w:rFonts w:ascii="Times New Roman" w:hAnsi="Times New Roman" w:cs="Times New Roman"/>
          <w:sz w:val="20"/>
          <w:szCs w:val="20"/>
          <w:lang/>
        </w:rPr>
        <w:t xml:space="preserve">Therefore, persons in unemployment are define as </w:t>
      </w:r>
      <w:r w:rsidRPr="0022630A">
        <w:rPr>
          <w:rFonts w:ascii="Times New Roman" w:hAnsi="Times New Roman" w:cs="Times New Roman"/>
          <w:i/>
          <w:iCs/>
          <w:sz w:val="20"/>
          <w:szCs w:val="20"/>
          <w:lang/>
        </w:rPr>
        <w:t xml:space="preserve">all those of working age who were not in employment, carried out activities to seek employment during a specified recent period and were currently available to take up employment given a job opportunity. </w:t>
      </w:r>
    </w:p>
    <w:p w14:paraId="0B856B4F" w14:textId="77777777" w:rsidR="003B0196" w:rsidRPr="0022630A" w:rsidRDefault="003B0196" w:rsidP="003B0196">
      <w:pPr>
        <w:pStyle w:val="ListParagraph"/>
        <w:spacing w:line="360" w:lineRule="auto"/>
        <w:jc w:val="both"/>
        <w:rPr>
          <w:rFonts w:ascii="Times New Roman" w:hAnsi="Times New Roman" w:cs="Times New Roman"/>
          <w:sz w:val="20"/>
          <w:szCs w:val="20"/>
          <w:lang/>
        </w:rPr>
      </w:pPr>
      <w:r w:rsidRPr="0022630A">
        <w:rPr>
          <w:rFonts w:ascii="Times New Roman" w:hAnsi="Times New Roman" w:cs="Times New Roman"/>
          <w:i/>
          <w:iCs/>
          <w:sz w:val="20"/>
          <w:szCs w:val="20"/>
          <w:lang/>
        </w:rPr>
        <w:t xml:space="preserve"> Based on this, the unemployment rate is computed as follows:</w:t>
      </w:r>
    </w:p>
    <w:p w14:paraId="1872752B" w14:textId="77777777" w:rsidR="003B0196" w:rsidRPr="0022630A" w:rsidRDefault="003B0196" w:rsidP="003B0196">
      <w:pPr>
        <w:pStyle w:val="ListParagraph"/>
        <w:numPr>
          <w:ilvl w:val="0"/>
          <w:numId w:val="24"/>
        </w:numPr>
        <w:spacing w:line="276" w:lineRule="auto"/>
        <w:jc w:val="both"/>
        <w:rPr>
          <w:rFonts w:ascii="Times New Roman" w:hAnsi="Times New Roman" w:cs="Times New Roman"/>
          <w:b/>
          <w:bCs/>
          <w:i/>
          <w:iCs/>
          <w:sz w:val="20"/>
          <w:szCs w:val="20"/>
        </w:rPr>
      </w:pPr>
      <w:r w:rsidRPr="0022630A">
        <w:rPr>
          <w:rFonts w:ascii="Times New Roman" w:hAnsi="Times New Roman" w:cs="Times New Roman"/>
          <w:b/>
          <w:bCs/>
          <w:i/>
          <w:iCs/>
          <w:sz w:val="20"/>
          <w:szCs w:val="20"/>
        </w:rPr>
        <w:t>Unemployment Rate = Unemployed X 100 / Labour Force</w:t>
      </w:r>
    </w:p>
    <w:p w14:paraId="7A05A053" w14:textId="77777777" w:rsidR="003B0196" w:rsidRPr="0022630A" w:rsidRDefault="003B0196" w:rsidP="003B0196">
      <w:pPr>
        <w:pStyle w:val="ListParagraph"/>
        <w:numPr>
          <w:ilvl w:val="0"/>
          <w:numId w:val="24"/>
        </w:numPr>
        <w:spacing w:line="276" w:lineRule="auto"/>
        <w:jc w:val="both"/>
        <w:rPr>
          <w:rFonts w:ascii="Times New Roman" w:hAnsi="Times New Roman" w:cs="Times New Roman"/>
          <w:b/>
          <w:bCs/>
          <w:i/>
          <w:iCs/>
          <w:sz w:val="20"/>
          <w:szCs w:val="20"/>
        </w:rPr>
      </w:pPr>
      <w:r w:rsidRPr="0022630A">
        <w:rPr>
          <w:rFonts w:ascii="Times New Roman" w:hAnsi="Times New Roman" w:cs="Times New Roman"/>
          <w:b/>
          <w:bCs/>
          <w:i/>
          <w:iCs/>
          <w:sz w:val="20"/>
          <w:szCs w:val="20"/>
        </w:rPr>
        <w:t>Male Unemployment Rate = (No. of Unemployed Males / Total No. of Males in the Labour Force) X100</w:t>
      </w:r>
    </w:p>
    <w:p w14:paraId="44E488B6" w14:textId="77777777" w:rsidR="003B0196" w:rsidRPr="0022630A" w:rsidRDefault="003B0196" w:rsidP="003B0196">
      <w:pPr>
        <w:pStyle w:val="ListParagraph"/>
        <w:numPr>
          <w:ilvl w:val="0"/>
          <w:numId w:val="24"/>
        </w:numPr>
        <w:spacing w:line="276" w:lineRule="auto"/>
        <w:jc w:val="both"/>
        <w:rPr>
          <w:rFonts w:ascii="Times New Roman" w:hAnsi="Times New Roman" w:cs="Times New Roman"/>
          <w:b/>
          <w:bCs/>
          <w:i/>
          <w:iCs/>
          <w:sz w:val="20"/>
          <w:szCs w:val="20"/>
        </w:rPr>
      </w:pPr>
      <w:r w:rsidRPr="0022630A">
        <w:rPr>
          <w:rFonts w:ascii="Times New Roman" w:hAnsi="Times New Roman" w:cs="Times New Roman"/>
          <w:b/>
          <w:bCs/>
          <w:i/>
          <w:iCs/>
          <w:sz w:val="20"/>
          <w:szCs w:val="20"/>
        </w:rPr>
        <w:t>Female Unemployment Rate = (No. of Unemployed Females/ Total No. of Females in the Labour Force) X100</w:t>
      </w:r>
    </w:p>
    <w:p w14:paraId="0E5D9200" w14:textId="77777777" w:rsidR="003B0196" w:rsidRPr="0022630A" w:rsidRDefault="003B0196" w:rsidP="003B0196">
      <w:pPr>
        <w:pStyle w:val="ListParagraph"/>
        <w:numPr>
          <w:ilvl w:val="0"/>
          <w:numId w:val="24"/>
        </w:numPr>
        <w:spacing w:line="276" w:lineRule="auto"/>
        <w:jc w:val="both"/>
        <w:rPr>
          <w:rFonts w:ascii="Times New Roman" w:hAnsi="Times New Roman" w:cs="Times New Roman"/>
          <w:b/>
          <w:bCs/>
          <w:i/>
          <w:iCs/>
          <w:sz w:val="20"/>
          <w:szCs w:val="20"/>
        </w:rPr>
      </w:pPr>
      <w:r w:rsidRPr="0022630A">
        <w:rPr>
          <w:rFonts w:ascii="Times New Roman" w:hAnsi="Times New Roman" w:cs="Times New Roman"/>
          <w:b/>
          <w:bCs/>
          <w:i/>
          <w:iCs/>
          <w:sz w:val="20"/>
          <w:szCs w:val="20"/>
        </w:rPr>
        <w:t xml:space="preserve">Youth Unemployment: For the purpose of this indicator, the term "youth" covers persons aged 15 years to 29 years. </w:t>
      </w:r>
    </w:p>
    <w:p w14:paraId="36B6C259" w14:textId="77777777" w:rsidR="003B0196" w:rsidRPr="0022630A" w:rsidRDefault="003B0196" w:rsidP="003B0196">
      <w:pPr>
        <w:spacing w:line="276" w:lineRule="auto"/>
        <w:ind w:left="1440"/>
        <w:jc w:val="both"/>
        <w:rPr>
          <w:rFonts w:ascii="Times New Roman" w:hAnsi="Times New Roman" w:cs="Times New Roman"/>
          <w:b/>
          <w:bCs/>
          <w:i/>
          <w:iCs/>
          <w:sz w:val="20"/>
          <w:szCs w:val="20"/>
        </w:rPr>
      </w:pPr>
      <w:r w:rsidRPr="0022630A">
        <w:rPr>
          <w:rFonts w:ascii="Times New Roman" w:hAnsi="Times New Roman" w:cs="Times New Roman"/>
          <w:b/>
          <w:bCs/>
          <w:i/>
          <w:iCs/>
          <w:sz w:val="20"/>
          <w:szCs w:val="20"/>
        </w:rPr>
        <w:t>Youth Unemployment Rate = Unemployed Youths as a percentage of the Youth Labour Force</w:t>
      </w:r>
    </w:p>
    <w:p w14:paraId="037A8DD6" w14:textId="2CA1E263" w:rsidR="00397C2D" w:rsidRPr="00955DF7" w:rsidRDefault="00C70AC7" w:rsidP="00955DF7">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T</w:t>
      </w:r>
      <w:r w:rsidR="00397C2D" w:rsidRPr="00955DF7">
        <w:rPr>
          <w:rFonts w:ascii="Times New Roman" w:hAnsi="Times New Roman" w:cs="Times New Roman"/>
          <w:sz w:val="24"/>
          <w:szCs w:val="24"/>
        </w:rPr>
        <w:t>h</w:t>
      </w:r>
      <w:r w:rsidR="000C288D" w:rsidRPr="00955DF7">
        <w:rPr>
          <w:rFonts w:ascii="Times New Roman" w:hAnsi="Times New Roman" w:cs="Times New Roman"/>
          <w:sz w:val="24"/>
          <w:szCs w:val="24"/>
        </w:rPr>
        <w:t xml:space="preserve">e statistical output of the </w:t>
      </w:r>
      <w:r w:rsidR="00387405" w:rsidRPr="00955DF7">
        <w:rPr>
          <w:rFonts w:ascii="Times New Roman" w:hAnsi="Times New Roman" w:cs="Times New Roman"/>
          <w:sz w:val="24"/>
          <w:szCs w:val="24"/>
        </w:rPr>
        <w:t xml:space="preserve">third quarter </w:t>
      </w:r>
      <w:r w:rsidR="000C288D" w:rsidRPr="00955DF7">
        <w:rPr>
          <w:rFonts w:ascii="Times New Roman" w:hAnsi="Times New Roman" w:cs="Times New Roman"/>
          <w:sz w:val="24"/>
          <w:szCs w:val="24"/>
        </w:rPr>
        <w:t xml:space="preserve">Labour </w:t>
      </w:r>
      <w:r w:rsidR="00AB25AA" w:rsidRPr="00955DF7">
        <w:rPr>
          <w:rFonts w:ascii="Times New Roman" w:hAnsi="Times New Roman" w:cs="Times New Roman"/>
          <w:sz w:val="24"/>
          <w:szCs w:val="24"/>
        </w:rPr>
        <w:t>Force</w:t>
      </w:r>
      <w:r w:rsidR="000C288D" w:rsidRPr="00955DF7">
        <w:rPr>
          <w:rFonts w:ascii="Times New Roman" w:hAnsi="Times New Roman" w:cs="Times New Roman"/>
          <w:sz w:val="24"/>
          <w:szCs w:val="24"/>
        </w:rPr>
        <w:t xml:space="preserve"> Survey </w:t>
      </w:r>
      <w:r w:rsidR="00397C2D" w:rsidRPr="00955DF7">
        <w:rPr>
          <w:rFonts w:ascii="Times New Roman" w:hAnsi="Times New Roman" w:cs="Times New Roman"/>
          <w:sz w:val="24"/>
          <w:szCs w:val="24"/>
        </w:rPr>
        <w:t xml:space="preserve">highlights short-term trends, </w:t>
      </w:r>
      <w:r w:rsidR="000C288D" w:rsidRPr="00955DF7">
        <w:rPr>
          <w:rFonts w:ascii="Times New Roman" w:hAnsi="Times New Roman" w:cs="Times New Roman"/>
          <w:sz w:val="24"/>
          <w:szCs w:val="24"/>
        </w:rPr>
        <w:t xml:space="preserve">provides a </w:t>
      </w:r>
      <w:r w:rsidR="00832FE0" w:rsidRPr="00955DF7">
        <w:rPr>
          <w:rFonts w:ascii="Times New Roman" w:hAnsi="Times New Roman" w:cs="Times New Roman"/>
          <w:sz w:val="24"/>
          <w:szCs w:val="24"/>
        </w:rPr>
        <w:t>comparison within</w:t>
      </w:r>
      <w:r w:rsidR="000C288D" w:rsidRPr="00955DF7">
        <w:rPr>
          <w:rFonts w:ascii="Times New Roman" w:hAnsi="Times New Roman" w:cs="Times New Roman"/>
          <w:sz w:val="24"/>
          <w:szCs w:val="24"/>
        </w:rPr>
        <w:t xml:space="preserve"> quarters, </w:t>
      </w:r>
      <w:r w:rsidR="00AB25AA" w:rsidRPr="00955DF7">
        <w:rPr>
          <w:rFonts w:ascii="Times New Roman" w:hAnsi="Times New Roman" w:cs="Times New Roman"/>
          <w:sz w:val="24"/>
          <w:szCs w:val="24"/>
        </w:rPr>
        <w:t xml:space="preserve">the </w:t>
      </w:r>
      <w:r w:rsidR="00397C2D" w:rsidRPr="00955DF7">
        <w:rPr>
          <w:rFonts w:ascii="Times New Roman" w:hAnsi="Times New Roman" w:cs="Times New Roman"/>
          <w:sz w:val="24"/>
          <w:szCs w:val="24"/>
        </w:rPr>
        <w:t>immediate changes</w:t>
      </w:r>
      <w:r w:rsidR="00AB25AA" w:rsidRPr="00955DF7">
        <w:rPr>
          <w:rFonts w:ascii="Times New Roman" w:hAnsi="Times New Roman" w:cs="Times New Roman"/>
          <w:sz w:val="24"/>
          <w:szCs w:val="24"/>
        </w:rPr>
        <w:t xml:space="preserve"> (Year to Year)</w:t>
      </w:r>
      <w:r w:rsidR="00397C2D" w:rsidRPr="00955DF7">
        <w:rPr>
          <w:rFonts w:ascii="Times New Roman" w:hAnsi="Times New Roman" w:cs="Times New Roman"/>
          <w:sz w:val="24"/>
          <w:szCs w:val="24"/>
        </w:rPr>
        <w:t>, and the most recent mo</w:t>
      </w:r>
      <w:r w:rsidR="000C288D" w:rsidRPr="00955DF7">
        <w:rPr>
          <w:rFonts w:ascii="Times New Roman" w:hAnsi="Times New Roman" w:cs="Times New Roman"/>
          <w:sz w:val="24"/>
          <w:szCs w:val="24"/>
        </w:rPr>
        <w:t>vement within</w:t>
      </w:r>
      <w:r w:rsidR="00397C2D" w:rsidRPr="00955DF7">
        <w:rPr>
          <w:rFonts w:ascii="Times New Roman" w:hAnsi="Times New Roman" w:cs="Times New Roman"/>
          <w:sz w:val="24"/>
          <w:szCs w:val="24"/>
        </w:rPr>
        <w:t xml:space="preserve"> the</w:t>
      </w:r>
      <w:r w:rsidR="00160A53" w:rsidRPr="00955DF7">
        <w:rPr>
          <w:rFonts w:ascii="Times New Roman" w:hAnsi="Times New Roman" w:cs="Times New Roman"/>
          <w:sz w:val="24"/>
          <w:szCs w:val="24"/>
        </w:rPr>
        <w:t xml:space="preserve"> labour </w:t>
      </w:r>
      <w:r w:rsidR="00AB25AA" w:rsidRPr="00955DF7">
        <w:rPr>
          <w:rFonts w:ascii="Times New Roman" w:hAnsi="Times New Roman" w:cs="Times New Roman"/>
          <w:sz w:val="24"/>
          <w:szCs w:val="24"/>
        </w:rPr>
        <w:t>market, 4</w:t>
      </w:r>
      <w:r w:rsidR="00AB25AA" w:rsidRPr="00955DF7">
        <w:rPr>
          <w:rFonts w:ascii="Times New Roman" w:hAnsi="Times New Roman" w:cs="Times New Roman"/>
          <w:sz w:val="24"/>
          <w:szCs w:val="24"/>
          <w:vertAlign w:val="superscript"/>
        </w:rPr>
        <w:t>th</w:t>
      </w:r>
      <w:r w:rsidR="00AB25AA" w:rsidRPr="00955DF7">
        <w:rPr>
          <w:rFonts w:ascii="Times New Roman" w:hAnsi="Times New Roman" w:cs="Times New Roman"/>
          <w:sz w:val="24"/>
          <w:szCs w:val="24"/>
        </w:rPr>
        <w:t xml:space="preserve"> quarter 2024 to 1</w:t>
      </w:r>
      <w:r w:rsidR="00AB25AA" w:rsidRPr="00955DF7">
        <w:rPr>
          <w:rFonts w:ascii="Times New Roman" w:hAnsi="Times New Roman" w:cs="Times New Roman"/>
          <w:sz w:val="24"/>
          <w:szCs w:val="24"/>
          <w:vertAlign w:val="superscript"/>
        </w:rPr>
        <w:t>st</w:t>
      </w:r>
      <w:r w:rsidR="00AB25AA" w:rsidRPr="00955DF7">
        <w:rPr>
          <w:rFonts w:ascii="Times New Roman" w:hAnsi="Times New Roman" w:cs="Times New Roman"/>
          <w:sz w:val="24"/>
          <w:szCs w:val="24"/>
        </w:rPr>
        <w:t xml:space="preserve"> quarter 2025</w:t>
      </w:r>
      <w:r w:rsidR="00397C2D" w:rsidRPr="00955DF7">
        <w:rPr>
          <w:rFonts w:ascii="Times New Roman" w:hAnsi="Times New Roman" w:cs="Times New Roman"/>
          <w:sz w:val="24"/>
          <w:szCs w:val="24"/>
        </w:rPr>
        <w:t>. It's useful for understanding what happened very recently and if there's an up</w:t>
      </w:r>
      <w:r w:rsidR="00832FE0" w:rsidRPr="00955DF7">
        <w:rPr>
          <w:rFonts w:ascii="Times New Roman" w:hAnsi="Times New Roman" w:cs="Times New Roman"/>
          <w:sz w:val="24"/>
          <w:szCs w:val="24"/>
        </w:rPr>
        <w:t>ward, downward</w:t>
      </w:r>
      <w:r w:rsidR="00397C2D" w:rsidRPr="00955DF7">
        <w:rPr>
          <w:rFonts w:ascii="Times New Roman" w:hAnsi="Times New Roman" w:cs="Times New Roman"/>
          <w:sz w:val="24"/>
          <w:szCs w:val="24"/>
        </w:rPr>
        <w:t>, or stagna</w:t>
      </w:r>
      <w:r w:rsidR="00AB25AA" w:rsidRPr="00955DF7">
        <w:rPr>
          <w:rFonts w:ascii="Times New Roman" w:hAnsi="Times New Roman" w:cs="Times New Roman"/>
          <w:sz w:val="24"/>
          <w:szCs w:val="24"/>
        </w:rPr>
        <w:t>nt trend</w:t>
      </w:r>
      <w:r w:rsidR="00397C2D" w:rsidRPr="00955DF7">
        <w:rPr>
          <w:rFonts w:ascii="Times New Roman" w:hAnsi="Times New Roman" w:cs="Times New Roman"/>
          <w:sz w:val="24"/>
          <w:szCs w:val="24"/>
        </w:rPr>
        <w:t>.</w:t>
      </w:r>
      <w:r w:rsidR="00397C2D" w:rsidRPr="00955DF7">
        <w:rPr>
          <w:sz w:val="24"/>
          <w:szCs w:val="24"/>
        </w:rPr>
        <w:t xml:space="preserve"> </w:t>
      </w:r>
      <w:r w:rsidR="00397C2D" w:rsidRPr="00955DF7">
        <w:rPr>
          <w:rFonts w:ascii="Times New Roman" w:hAnsi="Times New Roman" w:cs="Times New Roman"/>
          <w:sz w:val="24"/>
          <w:szCs w:val="24"/>
        </w:rPr>
        <w:t xml:space="preserve">This comparison helps to </w:t>
      </w:r>
      <w:r w:rsidR="00832FE0" w:rsidRPr="00955DF7">
        <w:rPr>
          <w:rFonts w:ascii="Times New Roman" w:hAnsi="Times New Roman" w:cs="Times New Roman"/>
          <w:sz w:val="24"/>
          <w:szCs w:val="24"/>
        </w:rPr>
        <w:t>highlight</w:t>
      </w:r>
      <w:r w:rsidR="00397C2D" w:rsidRPr="00955DF7">
        <w:rPr>
          <w:rFonts w:ascii="Times New Roman" w:hAnsi="Times New Roman" w:cs="Times New Roman"/>
          <w:sz w:val="24"/>
          <w:szCs w:val="24"/>
        </w:rPr>
        <w:t xml:space="preserve"> seasonal effects and provides a clearer picture of the long-term or underlying trend in the data. It indicates whether the current performance is better, worse, or similar to the same period in the past</w:t>
      </w:r>
      <w:r w:rsidR="00AB25AA" w:rsidRPr="00955DF7">
        <w:rPr>
          <w:rFonts w:ascii="Times New Roman" w:hAnsi="Times New Roman" w:cs="Times New Roman"/>
          <w:sz w:val="24"/>
          <w:szCs w:val="24"/>
        </w:rPr>
        <w:t>.</w:t>
      </w:r>
      <w:r w:rsidR="00832FE0" w:rsidRPr="00955DF7">
        <w:rPr>
          <w:rFonts w:ascii="Times New Roman" w:hAnsi="Times New Roman" w:cs="Times New Roman"/>
          <w:sz w:val="24"/>
          <w:szCs w:val="24"/>
        </w:rPr>
        <w:t xml:space="preserve"> </w:t>
      </w:r>
    </w:p>
    <w:p w14:paraId="7C506873" w14:textId="64E0D915" w:rsidR="00397C2D" w:rsidRPr="00BB0380" w:rsidRDefault="00733784" w:rsidP="00733784">
      <w:pPr>
        <w:spacing w:line="240" w:lineRule="auto"/>
        <w:rPr>
          <w:rFonts w:ascii="Times New Roman" w:hAnsi="Times New Roman" w:cs="Times New Roman"/>
          <w:b/>
          <w:bCs/>
          <w:i/>
          <w:iCs/>
          <w:sz w:val="20"/>
          <w:szCs w:val="20"/>
        </w:rPr>
      </w:pPr>
      <w:r>
        <w:rPr>
          <w:rFonts w:ascii="Times New Roman" w:hAnsi="Times New Roman" w:cs="Times New Roman"/>
          <w:b/>
          <w:bCs/>
          <w:sz w:val="20"/>
          <w:szCs w:val="20"/>
        </w:rPr>
        <w:t xml:space="preserve">                                                                                                                                      </w:t>
      </w:r>
      <w:r w:rsidRPr="00BB0380">
        <w:rPr>
          <w:rFonts w:ascii="Times New Roman" w:hAnsi="Times New Roman" w:cs="Times New Roman"/>
          <w:b/>
          <w:bCs/>
          <w:i/>
          <w:iCs/>
          <w:sz w:val="20"/>
          <w:szCs w:val="20"/>
        </w:rPr>
        <w:t xml:space="preserve">  </w:t>
      </w:r>
      <w:r w:rsidRPr="00BB0380">
        <w:rPr>
          <w:rFonts w:ascii="Times New Roman" w:hAnsi="Times New Roman" w:cs="Times New Roman"/>
          <w:b/>
          <w:bCs/>
          <w:i/>
          <w:iCs/>
          <w:sz w:val="18"/>
          <w:szCs w:val="18"/>
        </w:rPr>
        <w:t>Table 1: Labour Force Rates of the Working Age Population by Age</w:t>
      </w:r>
    </w:p>
    <w:tbl>
      <w:tblPr>
        <w:tblpPr w:leftFromText="180" w:rightFromText="180" w:vertAnchor="text" w:horzAnchor="margin" w:tblpXSpec="right" w:tblpY="47"/>
        <w:tblW w:w="6201" w:type="dxa"/>
        <w:tblLook w:val="04A0" w:firstRow="1" w:lastRow="0" w:firstColumn="1" w:lastColumn="0" w:noHBand="0" w:noVBand="1"/>
      </w:tblPr>
      <w:tblGrid>
        <w:gridCol w:w="2369"/>
        <w:gridCol w:w="1230"/>
        <w:gridCol w:w="1396"/>
        <w:gridCol w:w="1206"/>
      </w:tblGrid>
      <w:tr w:rsidR="00955DF7" w:rsidRPr="00955DF7" w14:paraId="7F042289" w14:textId="77777777" w:rsidTr="00955DF7">
        <w:trPr>
          <w:trHeight w:val="561"/>
        </w:trPr>
        <w:tc>
          <w:tcPr>
            <w:tcW w:w="23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6A22A9"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Age Group</w:t>
            </w:r>
          </w:p>
        </w:tc>
        <w:tc>
          <w:tcPr>
            <w:tcW w:w="1230" w:type="dxa"/>
            <w:tcBorders>
              <w:top w:val="single" w:sz="8" w:space="0" w:color="auto"/>
              <w:left w:val="nil"/>
              <w:bottom w:val="single" w:sz="8" w:space="0" w:color="auto"/>
              <w:right w:val="single" w:sz="8" w:space="0" w:color="auto"/>
            </w:tcBorders>
            <w:shd w:val="clear" w:color="auto" w:fill="auto"/>
            <w:vAlign w:val="center"/>
            <w:hideMark/>
          </w:tcPr>
          <w:p w14:paraId="45C0709B"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Labour Force Participation Rate</w:t>
            </w:r>
          </w:p>
        </w:tc>
        <w:tc>
          <w:tcPr>
            <w:tcW w:w="1396" w:type="dxa"/>
            <w:tcBorders>
              <w:top w:val="single" w:sz="8" w:space="0" w:color="auto"/>
              <w:left w:val="nil"/>
              <w:bottom w:val="single" w:sz="8" w:space="0" w:color="auto"/>
              <w:right w:val="single" w:sz="8" w:space="0" w:color="auto"/>
            </w:tcBorders>
            <w:shd w:val="clear" w:color="auto" w:fill="auto"/>
            <w:vAlign w:val="center"/>
            <w:hideMark/>
          </w:tcPr>
          <w:p w14:paraId="02ACC187"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Unemployment Rate</w:t>
            </w:r>
          </w:p>
        </w:tc>
        <w:tc>
          <w:tcPr>
            <w:tcW w:w="1206" w:type="dxa"/>
            <w:tcBorders>
              <w:top w:val="single" w:sz="8" w:space="0" w:color="auto"/>
              <w:left w:val="nil"/>
              <w:bottom w:val="single" w:sz="8" w:space="0" w:color="auto"/>
              <w:right w:val="single" w:sz="8" w:space="0" w:color="auto"/>
            </w:tcBorders>
            <w:shd w:val="clear" w:color="auto" w:fill="auto"/>
            <w:vAlign w:val="center"/>
            <w:hideMark/>
          </w:tcPr>
          <w:p w14:paraId="38891C01"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Employment Rate</w:t>
            </w:r>
          </w:p>
        </w:tc>
      </w:tr>
      <w:tr w:rsidR="00955DF7" w:rsidRPr="00955DF7" w14:paraId="3B61A07F"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5CADE03F"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955DF7">
              <w:rPr>
                <w:rFonts w:ascii="Times New Roman" w:eastAsia="Times New Roman" w:hAnsi="Times New Roman" w:cs="Times New Roman"/>
                <w:b/>
                <w:bCs/>
                <w:sz w:val="18"/>
                <w:szCs w:val="18"/>
                <w:lang/>
              </w:rPr>
              <w:t xml:space="preserve"> </w:t>
            </w:r>
            <w:r w:rsidRPr="00B957B6">
              <w:rPr>
                <w:rFonts w:ascii="Times New Roman" w:eastAsia="Times New Roman" w:hAnsi="Times New Roman" w:cs="Times New Roman"/>
                <w:b/>
                <w:bCs/>
                <w:sz w:val="18"/>
                <w:szCs w:val="18"/>
                <w:lang/>
              </w:rPr>
              <w:t>15-19 Years</w:t>
            </w:r>
          </w:p>
        </w:tc>
        <w:tc>
          <w:tcPr>
            <w:tcW w:w="1230" w:type="dxa"/>
            <w:tcBorders>
              <w:top w:val="nil"/>
              <w:left w:val="nil"/>
              <w:bottom w:val="single" w:sz="8" w:space="0" w:color="auto"/>
              <w:right w:val="single" w:sz="8" w:space="0" w:color="auto"/>
            </w:tcBorders>
            <w:shd w:val="clear" w:color="auto" w:fill="auto"/>
            <w:noWrap/>
            <w:vAlign w:val="center"/>
            <w:hideMark/>
          </w:tcPr>
          <w:p w14:paraId="1580C21B"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26.4</w:t>
            </w:r>
          </w:p>
        </w:tc>
        <w:tc>
          <w:tcPr>
            <w:tcW w:w="1396" w:type="dxa"/>
            <w:tcBorders>
              <w:top w:val="nil"/>
              <w:left w:val="nil"/>
              <w:bottom w:val="single" w:sz="8" w:space="0" w:color="auto"/>
              <w:right w:val="single" w:sz="8" w:space="0" w:color="auto"/>
            </w:tcBorders>
            <w:shd w:val="clear" w:color="auto" w:fill="auto"/>
            <w:noWrap/>
            <w:vAlign w:val="center"/>
            <w:hideMark/>
          </w:tcPr>
          <w:p w14:paraId="07A34AE5"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71.8</w:t>
            </w:r>
          </w:p>
        </w:tc>
        <w:tc>
          <w:tcPr>
            <w:tcW w:w="1206" w:type="dxa"/>
            <w:tcBorders>
              <w:top w:val="nil"/>
              <w:left w:val="nil"/>
              <w:bottom w:val="single" w:sz="8" w:space="0" w:color="auto"/>
              <w:right w:val="single" w:sz="8" w:space="0" w:color="auto"/>
            </w:tcBorders>
            <w:shd w:val="clear" w:color="auto" w:fill="auto"/>
            <w:noWrap/>
            <w:vAlign w:val="center"/>
            <w:hideMark/>
          </w:tcPr>
          <w:p w14:paraId="1E7CF8CD"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28.2</w:t>
            </w:r>
          </w:p>
        </w:tc>
      </w:tr>
      <w:tr w:rsidR="00955DF7" w:rsidRPr="00955DF7" w14:paraId="15E52454"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2B5701AD"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20-24 Years</w:t>
            </w:r>
          </w:p>
        </w:tc>
        <w:tc>
          <w:tcPr>
            <w:tcW w:w="1230" w:type="dxa"/>
            <w:tcBorders>
              <w:top w:val="nil"/>
              <w:left w:val="nil"/>
              <w:bottom w:val="single" w:sz="8" w:space="0" w:color="auto"/>
              <w:right w:val="single" w:sz="8" w:space="0" w:color="auto"/>
            </w:tcBorders>
            <w:shd w:val="clear" w:color="auto" w:fill="auto"/>
            <w:noWrap/>
            <w:vAlign w:val="center"/>
            <w:hideMark/>
          </w:tcPr>
          <w:p w14:paraId="43E82602"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82.9</w:t>
            </w:r>
          </w:p>
        </w:tc>
        <w:tc>
          <w:tcPr>
            <w:tcW w:w="1396" w:type="dxa"/>
            <w:tcBorders>
              <w:top w:val="nil"/>
              <w:left w:val="nil"/>
              <w:bottom w:val="single" w:sz="8" w:space="0" w:color="auto"/>
              <w:right w:val="single" w:sz="8" w:space="0" w:color="auto"/>
            </w:tcBorders>
            <w:shd w:val="clear" w:color="auto" w:fill="auto"/>
            <w:noWrap/>
            <w:vAlign w:val="center"/>
            <w:hideMark/>
          </w:tcPr>
          <w:p w14:paraId="3C07049A"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18</w:t>
            </w:r>
          </w:p>
        </w:tc>
        <w:tc>
          <w:tcPr>
            <w:tcW w:w="1206" w:type="dxa"/>
            <w:tcBorders>
              <w:top w:val="nil"/>
              <w:left w:val="nil"/>
              <w:bottom w:val="single" w:sz="8" w:space="0" w:color="auto"/>
              <w:right w:val="single" w:sz="8" w:space="0" w:color="auto"/>
            </w:tcBorders>
            <w:shd w:val="clear" w:color="auto" w:fill="auto"/>
            <w:noWrap/>
            <w:vAlign w:val="center"/>
            <w:hideMark/>
          </w:tcPr>
          <w:p w14:paraId="744854AB"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82</w:t>
            </w:r>
          </w:p>
        </w:tc>
      </w:tr>
      <w:tr w:rsidR="00955DF7" w:rsidRPr="00955DF7" w14:paraId="33394116"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12AF55E7"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25-29 Years</w:t>
            </w:r>
          </w:p>
        </w:tc>
        <w:tc>
          <w:tcPr>
            <w:tcW w:w="1230" w:type="dxa"/>
            <w:tcBorders>
              <w:top w:val="nil"/>
              <w:left w:val="nil"/>
              <w:bottom w:val="single" w:sz="8" w:space="0" w:color="auto"/>
              <w:right w:val="single" w:sz="8" w:space="0" w:color="auto"/>
            </w:tcBorders>
            <w:shd w:val="clear" w:color="auto" w:fill="auto"/>
            <w:noWrap/>
            <w:vAlign w:val="center"/>
            <w:hideMark/>
          </w:tcPr>
          <w:p w14:paraId="6B7F38E9"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98.4</w:t>
            </w:r>
          </w:p>
        </w:tc>
        <w:tc>
          <w:tcPr>
            <w:tcW w:w="1396" w:type="dxa"/>
            <w:tcBorders>
              <w:top w:val="nil"/>
              <w:left w:val="nil"/>
              <w:bottom w:val="single" w:sz="8" w:space="0" w:color="auto"/>
              <w:right w:val="single" w:sz="8" w:space="0" w:color="auto"/>
            </w:tcBorders>
            <w:shd w:val="clear" w:color="auto" w:fill="auto"/>
            <w:noWrap/>
            <w:vAlign w:val="center"/>
            <w:hideMark/>
          </w:tcPr>
          <w:p w14:paraId="0AB7331E"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14.2</w:t>
            </w:r>
          </w:p>
        </w:tc>
        <w:tc>
          <w:tcPr>
            <w:tcW w:w="1206" w:type="dxa"/>
            <w:tcBorders>
              <w:top w:val="nil"/>
              <w:left w:val="nil"/>
              <w:bottom w:val="single" w:sz="8" w:space="0" w:color="auto"/>
              <w:right w:val="single" w:sz="8" w:space="0" w:color="auto"/>
            </w:tcBorders>
            <w:shd w:val="clear" w:color="auto" w:fill="auto"/>
            <w:noWrap/>
            <w:vAlign w:val="center"/>
            <w:hideMark/>
          </w:tcPr>
          <w:p w14:paraId="3130ABBD"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85.8</w:t>
            </w:r>
          </w:p>
        </w:tc>
      </w:tr>
      <w:tr w:rsidR="00955DF7" w:rsidRPr="00955DF7" w14:paraId="5E528682"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3682B126"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30-34 Years</w:t>
            </w:r>
          </w:p>
        </w:tc>
        <w:tc>
          <w:tcPr>
            <w:tcW w:w="1230" w:type="dxa"/>
            <w:tcBorders>
              <w:top w:val="nil"/>
              <w:left w:val="nil"/>
              <w:bottom w:val="single" w:sz="8" w:space="0" w:color="auto"/>
              <w:right w:val="single" w:sz="8" w:space="0" w:color="auto"/>
            </w:tcBorders>
            <w:shd w:val="clear" w:color="auto" w:fill="auto"/>
            <w:noWrap/>
            <w:vAlign w:val="center"/>
            <w:hideMark/>
          </w:tcPr>
          <w:p w14:paraId="4ED2D592"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91.6</w:t>
            </w:r>
          </w:p>
        </w:tc>
        <w:tc>
          <w:tcPr>
            <w:tcW w:w="1396" w:type="dxa"/>
            <w:tcBorders>
              <w:top w:val="nil"/>
              <w:left w:val="nil"/>
              <w:bottom w:val="single" w:sz="8" w:space="0" w:color="auto"/>
              <w:right w:val="single" w:sz="8" w:space="0" w:color="auto"/>
            </w:tcBorders>
            <w:shd w:val="clear" w:color="auto" w:fill="auto"/>
            <w:noWrap/>
            <w:vAlign w:val="center"/>
            <w:hideMark/>
          </w:tcPr>
          <w:p w14:paraId="095828EB"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16.9</w:t>
            </w:r>
          </w:p>
        </w:tc>
        <w:tc>
          <w:tcPr>
            <w:tcW w:w="1206" w:type="dxa"/>
            <w:tcBorders>
              <w:top w:val="nil"/>
              <w:left w:val="nil"/>
              <w:bottom w:val="single" w:sz="8" w:space="0" w:color="auto"/>
              <w:right w:val="single" w:sz="8" w:space="0" w:color="auto"/>
            </w:tcBorders>
            <w:shd w:val="clear" w:color="auto" w:fill="auto"/>
            <w:noWrap/>
            <w:vAlign w:val="center"/>
            <w:hideMark/>
          </w:tcPr>
          <w:p w14:paraId="162681E9"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83.1</w:t>
            </w:r>
          </w:p>
        </w:tc>
      </w:tr>
      <w:tr w:rsidR="00955DF7" w:rsidRPr="00955DF7" w14:paraId="4CEC6E7C"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1EFF1247"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35-39 Years</w:t>
            </w:r>
          </w:p>
        </w:tc>
        <w:tc>
          <w:tcPr>
            <w:tcW w:w="1230" w:type="dxa"/>
            <w:tcBorders>
              <w:top w:val="nil"/>
              <w:left w:val="nil"/>
              <w:bottom w:val="single" w:sz="8" w:space="0" w:color="auto"/>
              <w:right w:val="single" w:sz="8" w:space="0" w:color="auto"/>
            </w:tcBorders>
            <w:shd w:val="clear" w:color="auto" w:fill="auto"/>
            <w:noWrap/>
            <w:vAlign w:val="center"/>
            <w:hideMark/>
          </w:tcPr>
          <w:p w14:paraId="3A6CFA98"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93.7</w:t>
            </w:r>
          </w:p>
        </w:tc>
        <w:tc>
          <w:tcPr>
            <w:tcW w:w="1396" w:type="dxa"/>
            <w:tcBorders>
              <w:top w:val="nil"/>
              <w:left w:val="nil"/>
              <w:bottom w:val="single" w:sz="8" w:space="0" w:color="auto"/>
              <w:right w:val="single" w:sz="8" w:space="0" w:color="auto"/>
            </w:tcBorders>
            <w:shd w:val="clear" w:color="auto" w:fill="auto"/>
            <w:noWrap/>
            <w:vAlign w:val="center"/>
            <w:hideMark/>
          </w:tcPr>
          <w:p w14:paraId="01D67A08"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9.2</w:t>
            </w:r>
          </w:p>
        </w:tc>
        <w:tc>
          <w:tcPr>
            <w:tcW w:w="1206" w:type="dxa"/>
            <w:tcBorders>
              <w:top w:val="nil"/>
              <w:left w:val="nil"/>
              <w:bottom w:val="single" w:sz="8" w:space="0" w:color="auto"/>
              <w:right w:val="single" w:sz="8" w:space="0" w:color="auto"/>
            </w:tcBorders>
            <w:shd w:val="clear" w:color="auto" w:fill="auto"/>
            <w:noWrap/>
            <w:vAlign w:val="center"/>
            <w:hideMark/>
          </w:tcPr>
          <w:p w14:paraId="1C142C19"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90.8</w:t>
            </w:r>
          </w:p>
        </w:tc>
      </w:tr>
      <w:tr w:rsidR="00955DF7" w:rsidRPr="00955DF7" w14:paraId="541D56C4"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25576CC1"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40-44 Years</w:t>
            </w:r>
          </w:p>
        </w:tc>
        <w:tc>
          <w:tcPr>
            <w:tcW w:w="1230" w:type="dxa"/>
            <w:tcBorders>
              <w:top w:val="nil"/>
              <w:left w:val="nil"/>
              <w:bottom w:val="single" w:sz="8" w:space="0" w:color="auto"/>
              <w:right w:val="single" w:sz="8" w:space="0" w:color="auto"/>
            </w:tcBorders>
            <w:shd w:val="clear" w:color="auto" w:fill="auto"/>
            <w:noWrap/>
            <w:vAlign w:val="center"/>
            <w:hideMark/>
          </w:tcPr>
          <w:p w14:paraId="25F3FC8F"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96.8</w:t>
            </w:r>
          </w:p>
        </w:tc>
        <w:tc>
          <w:tcPr>
            <w:tcW w:w="1396" w:type="dxa"/>
            <w:tcBorders>
              <w:top w:val="nil"/>
              <w:left w:val="nil"/>
              <w:bottom w:val="single" w:sz="8" w:space="0" w:color="auto"/>
              <w:right w:val="single" w:sz="8" w:space="0" w:color="auto"/>
            </w:tcBorders>
            <w:shd w:val="clear" w:color="auto" w:fill="auto"/>
            <w:noWrap/>
            <w:vAlign w:val="center"/>
            <w:hideMark/>
          </w:tcPr>
          <w:p w14:paraId="1C2CC8A0"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7.6</w:t>
            </w:r>
          </w:p>
        </w:tc>
        <w:tc>
          <w:tcPr>
            <w:tcW w:w="1206" w:type="dxa"/>
            <w:tcBorders>
              <w:top w:val="nil"/>
              <w:left w:val="nil"/>
              <w:bottom w:val="single" w:sz="8" w:space="0" w:color="auto"/>
              <w:right w:val="single" w:sz="8" w:space="0" w:color="auto"/>
            </w:tcBorders>
            <w:shd w:val="clear" w:color="auto" w:fill="auto"/>
            <w:noWrap/>
            <w:vAlign w:val="center"/>
            <w:hideMark/>
          </w:tcPr>
          <w:p w14:paraId="7D197152"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92.4</w:t>
            </w:r>
          </w:p>
        </w:tc>
      </w:tr>
      <w:tr w:rsidR="00955DF7" w:rsidRPr="00955DF7" w14:paraId="0DD93D70"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04968056"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45-49 Years</w:t>
            </w:r>
          </w:p>
        </w:tc>
        <w:tc>
          <w:tcPr>
            <w:tcW w:w="1230" w:type="dxa"/>
            <w:tcBorders>
              <w:top w:val="nil"/>
              <w:left w:val="nil"/>
              <w:bottom w:val="single" w:sz="8" w:space="0" w:color="auto"/>
              <w:right w:val="single" w:sz="8" w:space="0" w:color="auto"/>
            </w:tcBorders>
            <w:shd w:val="clear" w:color="auto" w:fill="auto"/>
            <w:noWrap/>
            <w:vAlign w:val="center"/>
            <w:hideMark/>
          </w:tcPr>
          <w:p w14:paraId="1CC622A2"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96.9</w:t>
            </w:r>
          </w:p>
        </w:tc>
        <w:tc>
          <w:tcPr>
            <w:tcW w:w="1396" w:type="dxa"/>
            <w:tcBorders>
              <w:top w:val="nil"/>
              <w:left w:val="nil"/>
              <w:bottom w:val="single" w:sz="8" w:space="0" w:color="auto"/>
              <w:right w:val="single" w:sz="8" w:space="0" w:color="auto"/>
            </w:tcBorders>
            <w:shd w:val="clear" w:color="auto" w:fill="auto"/>
            <w:noWrap/>
            <w:vAlign w:val="center"/>
            <w:hideMark/>
          </w:tcPr>
          <w:p w14:paraId="782B6DF3"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12.7</w:t>
            </w:r>
          </w:p>
        </w:tc>
        <w:tc>
          <w:tcPr>
            <w:tcW w:w="1206" w:type="dxa"/>
            <w:tcBorders>
              <w:top w:val="nil"/>
              <w:left w:val="nil"/>
              <w:bottom w:val="single" w:sz="8" w:space="0" w:color="auto"/>
              <w:right w:val="single" w:sz="8" w:space="0" w:color="auto"/>
            </w:tcBorders>
            <w:shd w:val="clear" w:color="auto" w:fill="auto"/>
            <w:noWrap/>
            <w:vAlign w:val="center"/>
            <w:hideMark/>
          </w:tcPr>
          <w:p w14:paraId="3525FFF6"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87.3</w:t>
            </w:r>
          </w:p>
        </w:tc>
      </w:tr>
      <w:tr w:rsidR="00955DF7" w:rsidRPr="00955DF7" w14:paraId="797507FF"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6216A696"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50-54 Years</w:t>
            </w:r>
          </w:p>
        </w:tc>
        <w:tc>
          <w:tcPr>
            <w:tcW w:w="1230" w:type="dxa"/>
            <w:tcBorders>
              <w:top w:val="nil"/>
              <w:left w:val="nil"/>
              <w:bottom w:val="single" w:sz="8" w:space="0" w:color="auto"/>
              <w:right w:val="single" w:sz="8" w:space="0" w:color="auto"/>
            </w:tcBorders>
            <w:shd w:val="clear" w:color="auto" w:fill="auto"/>
            <w:noWrap/>
            <w:vAlign w:val="center"/>
            <w:hideMark/>
          </w:tcPr>
          <w:p w14:paraId="1A01AB7A"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94.2</w:t>
            </w:r>
          </w:p>
        </w:tc>
        <w:tc>
          <w:tcPr>
            <w:tcW w:w="1396" w:type="dxa"/>
            <w:tcBorders>
              <w:top w:val="nil"/>
              <w:left w:val="nil"/>
              <w:bottom w:val="single" w:sz="8" w:space="0" w:color="auto"/>
              <w:right w:val="single" w:sz="8" w:space="0" w:color="auto"/>
            </w:tcBorders>
            <w:shd w:val="clear" w:color="auto" w:fill="auto"/>
            <w:noWrap/>
            <w:vAlign w:val="center"/>
            <w:hideMark/>
          </w:tcPr>
          <w:p w14:paraId="4D1C18C6"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11.5</w:t>
            </w:r>
          </w:p>
        </w:tc>
        <w:tc>
          <w:tcPr>
            <w:tcW w:w="1206" w:type="dxa"/>
            <w:tcBorders>
              <w:top w:val="nil"/>
              <w:left w:val="nil"/>
              <w:bottom w:val="single" w:sz="8" w:space="0" w:color="auto"/>
              <w:right w:val="single" w:sz="8" w:space="0" w:color="auto"/>
            </w:tcBorders>
            <w:shd w:val="clear" w:color="auto" w:fill="auto"/>
            <w:noWrap/>
            <w:vAlign w:val="center"/>
            <w:hideMark/>
          </w:tcPr>
          <w:p w14:paraId="49EF3946"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88.5</w:t>
            </w:r>
          </w:p>
        </w:tc>
      </w:tr>
      <w:tr w:rsidR="00955DF7" w:rsidRPr="00955DF7" w14:paraId="0428676C"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19C0AC1D"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55-59 Years</w:t>
            </w:r>
          </w:p>
        </w:tc>
        <w:tc>
          <w:tcPr>
            <w:tcW w:w="1230" w:type="dxa"/>
            <w:tcBorders>
              <w:top w:val="nil"/>
              <w:left w:val="nil"/>
              <w:bottom w:val="single" w:sz="8" w:space="0" w:color="auto"/>
              <w:right w:val="single" w:sz="8" w:space="0" w:color="auto"/>
            </w:tcBorders>
            <w:shd w:val="clear" w:color="auto" w:fill="auto"/>
            <w:noWrap/>
            <w:vAlign w:val="center"/>
            <w:hideMark/>
          </w:tcPr>
          <w:p w14:paraId="0F978C5C"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82.2</w:t>
            </w:r>
          </w:p>
        </w:tc>
        <w:tc>
          <w:tcPr>
            <w:tcW w:w="1396" w:type="dxa"/>
            <w:tcBorders>
              <w:top w:val="nil"/>
              <w:left w:val="nil"/>
              <w:bottom w:val="single" w:sz="8" w:space="0" w:color="auto"/>
              <w:right w:val="single" w:sz="8" w:space="0" w:color="auto"/>
            </w:tcBorders>
            <w:shd w:val="clear" w:color="auto" w:fill="auto"/>
            <w:noWrap/>
            <w:vAlign w:val="center"/>
            <w:hideMark/>
          </w:tcPr>
          <w:p w14:paraId="43F06543"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w:t>
            </w:r>
          </w:p>
        </w:tc>
        <w:tc>
          <w:tcPr>
            <w:tcW w:w="1206" w:type="dxa"/>
            <w:tcBorders>
              <w:top w:val="nil"/>
              <w:left w:val="nil"/>
              <w:bottom w:val="single" w:sz="8" w:space="0" w:color="auto"/>
              <w:right w:val="single" w:sz="8" w:space="0" w:color="auto"/>
            </w:tcBorders>
            <w:shd w:val="clear" w:color="auto" w:fill="auto"/>
            <w:noWrap/>
            <w:vAlign w:val="center"/>
            <w:hideMark/>
          </w:tcPr>
          <w:p w14:paraId="78698BE2"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92</w:t>
            </w:r>
          </w:p>
        </w:tc>
      </w:tr>
      <w:tr w:rsidR="00955DF7" w:rsidRPr="00955DF7" w14:paraId="4F729553"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1D1459B3"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60-64 Years</w:t>
            </w:r>
          </w:p>
        </w:tc>
        <w:tc>
          <w:tcPr>
            <w:tcW w:w="1230" w:type="dxa"/>
            <w:tcBorders>
              <w:top w:val="nil"/>
              <w:left w:val="nil"/>
              <w:bottom w:val="single" w:sz="8" w:space="0" w:color="auto"/>
              <w:right w:val="single" w:sz="8" w:space="0" w:color="auto"/>
            </w:tcBorders>
            <w:shd w:val="clear" w:color="auto" w:fill="auto"/>
            <w:noWrap/>
            <w:vAlign w:val="center"/>
            <w:hideMark/>
          </w:tcPr>
          <w:p w14:paraId="30C1FC19"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75.4</w:t>
            </w:r>
          </w:p>
        </w:tc>
        <w:tc>
          <w:tcPr>
            <w:tcW w:w="1396" w:type="dxa"/>
            <w:tcBorders>
              <w:top w:val="nil"/>
              <w:left w:val="nil"/>
              <w:bottom w:val="single" w:sz="8" w:space="0" w:color="auto"/>
              <w:right w:val="single" w:sz="8" w:space="0" w:color="auto"/>
            </w:tcBorders>
            <w:shd w:val="clear" w:color="auto" w:fill="auto"/>
            <w:noWrap/>
            <w:vAlign w:val="center"/>
            <w:hideMark/>
          </w:tcPr>
          <w:p w14:paraId="1CF11D48"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12.3</w:t>
            </w:r>
          </w:p>
        </w:tc>
        <w:tc>
          <w:tcPr>
            <w:tcW w:w="1206" w:type="dxa"/>
            <w:tcBorders>
              <w:top w:val="nil"/>
              <w:left w:val="nil"/>
              <w:bottom w:val="single" w:sz="8" w:space="0" w:color="auto"/>
              <w:right w:val="single" w:sz="8" w:space="0" w:color="auto"/>
            </w:tcBorders>
            <w:shd w:val="clear" w:color="auto" w:fill="auto"/>
            <w:noWrap/>
            <w:vAlign w:val="center"/>
            <w:hideMark/>
          </w:tcPr>
          <w:p w14:paraId="68FD1098"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87.7</w:t>
            </w:r>
          </w:p>
        </w:tc>
      </w:tr>
      <w:tr w:rsidR="00955DF7" w:rsidRPr="00955DF7" w14:paraId="6C248C7F"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79D75F86"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Over 65 Years</w:t>
            </w:r>
          </w:p>
        </w:tc>
        <w:tc>
          <w:tcPr>
            <w:tcW w:w="1230" w:type="dxa"/>
            <w:tcBorders>
              <w:top w:val="nil"/>
              <w:left w:val="nil"/>
              <w:bottom w:val="single" w:sz="8" w:space="0" w:color="auto"/>
              <w:right w:val="single" w:sz="8" w:space="0" w:color="auto"/>
            </w:tcBorders>
            <w:shd w:val="clear" w:color="auto" w:fill="auto"/>
            <w:noWrap/>
            <w:vAlign w:val="center"/>
            <w:hideMark/>
          </w:tcPr>
          <w:p w14:paraId="567897BB"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21.3</w:t>
            </w:r>
          </w:p>
        </w:tc>
        <w:tc>
          <w:tcPr>
            <w:tcW w:w="1396" w:type="dxa"/>
            <w:tcBorders>
              <w:top w:val="nil"/>
              <w:left w:val="nil"/>
              <w:bottom w:val="single" w:sz="8" w:space="0" w:color="auto"/>
              <w:right w:val="single" w:sz="8" w:space="0" w:color="auto"/>
            </w:tcBorders>
            <w:shd w:val="clear" w:color="auto" w:fill="auto"/>
            <w:noWrap/>
            <w:vAlign w:val="center"/>
            <w:hideMark/>
          </w:tcPr>
          <w:p w14:paraId="6B61CB1B"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22.1</w:t>
            </w:r>
          </w:p>
        </w:tc>
        <w:tc>
          <w:tcPr>
            <w:tcW w:w="1206" w:type="dxa"/>
            <w:tcBorders>
              <w:top w:val="nil"/>
              <w:left w:val="nil"/>
              <w:bottom w:val="single" w:sz="8" w:space="0" w:color="auto"/>
              <w:right w:val="single" w:sz="8" w:space="0" w:color="auto"/>
            </w:tcBorders>
            <w:shd w:val="clear" w:color="auto" w:fill="auto"/>
            <w:noWrap/>
            <w:vAlign w:val="center"/>
            <w:hideMark/>
          </w:tcPr>
          <w:p w14:paraId="21B9B369"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77.9</w:t>
            </w:r>
          </w:p>
        </w:tc>
      </w:tr>
      <w:tr w:rsidR="00955DF7" w:rsidRPr="00955DF7" w14:paraId="5C897B5D" w14:textId="77777777" w:rsidTr="00955DF7">
        <w:trPr>
          <w:trHeight w:val="208"/>
        </w:trPr>
        <w:tc>
          <w:tcPr>
            <w:tcW w:w="2369" w:type="dxa"/>
            <w:tcBorders>
              <w:top w:val="nil"/>
              <w:left w:val="single" w:sz="8" w:space="0" w:color="auto"/>
              <w:bottom w:val="single" w:sz="8" w:space="0" w:color="auto"/>
              <w:right w:val="single" w:sz="8" w:space="0" w:color="auto"/>
            </w:tcBorders>
            <w:shd w:val="clear" w:color="auto" w:fill="auto"/>
            <w:vAlign w:val="center"/>
            <w:hideMark/>
          </w:tcPr>
          <w:p w14:paraId="512EDDAB"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Total</w:t>
            </w:r>
          </w:p>
        </w:tc>
        <w:tc>
          <w:tcPr>
            <w:tcW w:w="1230" w:type="dxa"/>
            <w:tcBorders>
              <w:top w:val="nil"/>
              <w:left w:val="nil"/>
              <w:bottom w:val="single" w:sz="8" w:space="0" w:color="auto"/>
              <w:right w:val="single" w:sz="8" w:space="0" w:color="auto"/>
            </w:tcBorders>
            <w:shd w:val="clear" w:color="auto" w:fill="auto"/>
            <w:noWrap/>
            <w:vAlign w:val="center"/>
            <w:hideMark/>
          </w:tcPr>
          <w:p w14:paraId="0DFADAF1"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71.4</w:t>
            </w:r>
          </w:p>
        </w:tc>
        <w:tc>
          <w:tcPr>
            <w:tcW w:w="1396" w:type="dxa"/>
            <w:tcBorders>
              <w:top w:val="nil"/>
              <w:left w:val="nil"/>
              <w:bottom w:val="single" w:sz="8" w:space="0" w:color="auto"/>
              <w:right w:val="single" w:sz="8" w:space="0" w:color="auto"/>
            </w:tcBorders>
            <w:shd w:val="clear" w:color="auto" w:fill="auto"/>
            <w:noWrap/>
            <w:vAlign w:val="center"/>
            <w:hideMark/>
          </w:tcPr>
          <w:p w14:paraId="6BADFFA7"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14.1</w:t>
            </w:r>
          </w:p>
        </w:tc>
        <w:tc>
          <w:tcPr>
            <w:tcW w:w="1206" w:type="dxa"/>
            <w:tcBorders>
              <w:top w:val="nil"/>
              <w:left w:val="nil"/>
              <w:bottom w:val="single" w:sz="8" w:space="0" w:color="auto"/>
              <w:right w:val="single" w:sz="8" w:space="0" w:color="auto"/>
            </w:tcBorders>
            <w:shd w:val="clear" w:color="auto" w:fill="auto"/>
            <w:noWrap/>
            <w:vAlign w:val="center"/>
            <w:hideMark/>
          </w:tcPr>
          <w:p w14:paraId="0D359B0A" w14:textId="77777777" w:rsidR="00955DF7" w:rsidRPr="00B957B6" w:rsidRDefault="00955DF7" w:rsidP="00955DF7">
            <w:pPr>
              <w:spacing w:after="0" w:line="240" w:lineRule="auto"/>
              <w:jc w:val="both"/>
              <w:rPr>
                <w:rFonts w:ascii="Times New Roman" w:eastAsia="Times New Roman" w:hAnsi="Times New Roman" w:cs="Times New Roman"/>
                <w:b/>
                <w:bCs/>
                <w:sz w:val="18"/>
                <w:szCs w:val="18"/>
                <w:lang/>
              </w:rPr>
            </w:pPr>
            <w:r w:rsidRPr="00B957B6">
              <w:rPr>
                <w:rFonts w:ascii="Times New Roman" w:eastAsia="Times New Roman" w:hAnsi="Times New Roman" w:cs="Times New Roman"/>
                <w:b/>
                <w:bCs/>
                <w:sz w:val="18"/>
                <w:szCs w:val="18"/>
                <w:lang/>
              </w:rPr>
              <w:t>85.9</w:t>
            </w:r>
          </w:p>
        </w:tc>
      </w:tr>
    </w:tbl>
    <w:p w14:paraId="66FAB34F" w14:textId="1138DD9E" w:rsidR="00397C2D" w:rsidRPr="00955DF7" w:rsidRDefault="00397C2D" w:rsidP="00955DF7">
      <w:pPr>
        <w:spacing w:line="360" w:lineRule="auto"/>
        <w:jc w:val="both"/>
        <w:rPr>
          <w:rFonts w:ascii="Times New Roman" w:hAnsi="Times New Roman" w:cs="Times New Roman"/>
          <w:sz w:val="24"/>
          <w:szCs w:val="24"/>
        </w:rPr>
      </w:pPr>
      <w:r w:rsidRPr="00955DF7">
        <w:rPr>
          <w:rFonts w:ascii="Times New Roman" w:hAnsi="Times New Roman" w:cs="Times New Roman"/>
          <w:sz w:val="24"/>
          <w:szCs w:val="24"/>
        </w:rPr>
        <w:t xml:space="preserve">While the total labour force increased from Q1 2024 to Q1 2025, and also from Q4 2024 to Q1 2025, the growth in employment has been much slower or </w:t>
      </w:r>
      <w:r w:rsidR="00271778" w:rsidRPr="00955DF7">
        <w:rPr>
          <w:rFonts w:ascii="Times New Roman" w:hAnsi="Times New Roman" w:cs="Times New Roman"/>
          <w:sz w:val="24"/>
          <w:szCs w:val="24"/>
        </w:rPr>
        <w:t>less</w:t>
      </w:r>
      <w:r w:rsidRPr="00955DF7">
        <w:rPr>
          <w:rFonts w:ascii="Times New Roman" w:hAnsi="Times New Roman" w:cs="Times New Roman"/>
          <w:sz w:val="24"/>
          <w:szCs w:val="24"/>
        </w:rPr>
        <w:t xml:space="preserve"> in the most recent period. This suggests that more people are entering the labour force, but not enough jobs are being created to absorb them, leading to higher unemployment. The</w:t>
      </w:r>
      <w:r w:rsidR="00271778" w:rsidRPr="00955DF7">
        <w:rPr>
          <w:rFonts w:ascii="Times New Roman" w:hAnsi="Times New Roman" w:cs="Times New Roman"/>
          <w:sz w:val="24"/>
          <w:szCs w:val="24"/>
        </w:rPr>
        <w:t xml:space="preserve"> data revealed</w:t>
      </w:r>
      <w:r w:rsidRPr="00955DF7">
        <w:rPr>
          <w:rFonts w:ascii="Times New Roman" w:hAnsi="Times New Roman" w:cs="Times New Roman"/>
          <w:sz w:val="24"/>
          <w:szCs w:val="24"/>
        </w:rPr>
        <w:t xml:space="preserve"> a trend of more females entering the labour force, and an increasing number of unemployed females. In contrast, the male labour force has seen a decrease</w:t>
      </w:r>
      <w:r w:rsidR="00271778" w:rsidRPr="00955DF7">
        <w:rPr>
          <w:rFonts w:ascii="Times New Roman" w:hAnsi="Times New Roman" w:cs="Times New Roman"/>
          <w:sz w:val="24"/>
          <w:szCs w:val="24"/>
        </w:rPr>
        <w:t xml:space="preserve"> (see table</w:t>
      </w:r>
      <w:r w:rsidR="00387405" w:rsidRPr="00955DF7">
        <w:rPr>
          <w:rFonts w:ascii="Times New Roman" w:hAnsi="Times New Roman" w:cs="Times New Roman"/>
          <w:sz w:val="24"/>
          <w:szCs w:val="24"/>
        </w:rPr>
        <w:t xml:space="preserve"> 2 </w:t>
      </w:r>
      <w:r w:rsidR="00271778" w:rsidRPr="00955DF7">
        <w:rPr>
          <w:rFonts w:ascii="Times New Roman" w:hAnsi="Times New Roman" w:cs="Times New Roman"/>
          <w:sz w:val="24"/>
          <w:szCs w:val="24"/>
        </w:rPr>
        <w:t>below)</w:t>
      </w:r>
      <w:r w:rsidRPr="00955DF7">
        <w:rPr>
          <w:rFonts w:ascii="Times New Roman" w:hAnsi="Times New Roman" w:cs="Times New Roman"/>
          <w:sz w:val="24"/>
          <w:szCs w:val="24"/>
        </w:rPr>
        <w:t>.</w:t>
      </w:r>
    </w:p>
    <w:p w14:paraId="7FF989CB" w14:textId="43420068" w:rsidR="00397C2D" w:rsidRPr="00955DF7" w:rsidRDefault="00271778" w:rsidP="00955DF7">
      <w:pPr>
        <w:spacing w:line="360" w:lineRule="auto"/>
        <w:rPr>
          <w:rFonts w:ascii="Times New Roman" w:hAnsi="Times New Roman" w:cs="Times New Roman"/>
          <w:sz w:val="24"/>
          <w:szCs w:val="24"/>
          <w:lang/>
        </w:rPr>
      </w:pPr>
      <w:r w:rsidRPr="00955DF7">
        <w:rPr>
          <w:rFonts w:ascii="Times New Roman" w:hAnsi="Times New Roman" w:cs="Times New Roman"/>
          <w:sz w:val="24"/>
          <w:szCs w:val="24"/>
          <w:lang/>
        </w:rPr>
        <w:t xml:space="preserve">While </w:t>
      </w:r>
      <w:r w:rsidR="00397C2D" w:rsidRPr="00955DF7">
        <w:rPr>
          <w:rFonts w:ascii="Times New Roman" w:hAnsi="Times New Roman" w:cs="Times New Roman"/>
          <w:sz w:val="24"/>
          <w:szCs w:val="24"/>
          <w:lang/>
        </w:rPr>
        <w:t xml:space="preserve">the total labour force continued to grow, expanding by 3.85% compared to Q1 2024 and 3.62% since Q4 2024, the rate of job creation has lagged significantly. </w:t>
      </w:r>
      <w:r w:rsidRPr="00955DF7">
        <w:rPr>
          <w:rFonts w:ascii="Times New Roman" w:hAnsi="Times New Roman" w:cs="Times New Roman"/>
          <w:sz w:val="24"/>
          <w:szCs w:val="24"/>
          <w:lang/>
        </w:rPr>
        <w:t>This is reflected in the</w:t>
      </w:r>
      <w:r w:rsidR="00397C2D" w:rsidRPr="00955DF7">
        <w:rPr>
          <w:rFonts w:ascii="Times New Roman" w:hAnsi="Times New Roman" w:cs="Times New Roman"/>
          <w:sz w:val="24"/>
          <w:szCs w:val="24"/>
          <w:lang/>
        </w:rPr>
        <w:t xml:space="preserve"> total employment</w:t>
      </w:r>
      <w:r w:rsidR="00AB25AA" w:rsidRPr="00955DF7">
        <w:rPr>
          <w:rFonts w:ascii="Times New Roman" w:hAnsi="Times New Roman" w:cs="Times New Roman"/>
          <w:sz w:val="24"/>
          <w:szCs w:val="24"/>
          <w:lang/>
        </w:rPr>
        <w:t>, which saw a modest 0.62% increase year-over-year. Notably</w:t>
      </w:r>
      <w:r w:rsidR="00397C2D" w:rsidRPr="00955DF7">
        <w:rPr>
          <w:rFonts w:ascii="Times New Roman" w:hAnsi="Times New Roman" w:cs="Times New Roman"/>
          <w:sz w:val="24"/>
          <w:szCs w:val="24"/>
          <w:lang/>
        </w:rPr>
        <w:t>, it decreased by 2.43% from the previous quarter (Q4 2024 to Q1 2025)</w:t>
      </w:r>
      <w:r w:rsidRPr="00955DF7">
        <w:rPr>
          <w:rFonts w:ascii="Times New Roman" w:hAnsi="Times New Roman" w:cs="Times New Roman"/>
          <w:sz w:val="24"/>
          <w:szCs w:val="24"/>
          <w:lang/>
        </w:rPr>
        <w:t xml:space="preserve">, </w:t>
      </w:r>
      <w:r w:rsidR="00397C2D" w:rsidRPr="00955DF7">
        <w:rPr>
          <w:rFonts w:ascii="Times New Roman" w:hAnsi="Times New Roman" w:cs="Times New Roman"/>
          <w:sz w:val="24"/>
          <w:szCs w:val="24"/>
          <w:lang/>
        </w:rPr>
        <w:t>leading to higher unemployment figures.</w:t>
      </w:r>
    </w:p>
    <w:p w14:paraId="2328355F" w14:textId="36AD2D46" w:rsidR="00397C2D" w:rsidRPr="00955DF7" w:rsidRDefault="00271778" w:rsidP="00955DF7">
      <w:pPr>
        <w:spacing w:line="360" w:lineRule="auto"/>
        <w:jc w:val="both"/>
        <w:rPr>
          <w:rFonts w:ascii="Times New Roman" w:hAnsi="Times New Roman" w:cs="Times New Roman"/>
          <w:sz w:val="24"/>
          <w:szCs w:val="24"/>
          <w:lang/>
        </w:rPr>
      </w:pPr>
      <w:r w:rsidRPr="00955DF7">
        <w:rPr>
          <w:rFonts w:ascii="Times New Roman" w:hAnsi="Times New Roman" w:cs="Times New Roman"/>
          <w:sz w:val="24"/>
          <w:szCs w:val="24"/>
          <w:lang/>
        </w:rPr>
        <w:t>The data</w:t>
      </w:r>
      <w:r w:rsidR="00397C2D" w:rsidRPr="00955DF7">
        <w:rPr>
          <w:rFonts w:ascii="Times New Roman" w:hAnsi="Times New Roman" w:cs="Times New Roman"/>
          <w:sz w:val="24"/>
          <w:szCs w:val="24"/>
          <w:lang/>
        </w:rPr>
        <w:t xml:space="preserve"> reveal</w:t>
      </w:r>
      <w:r w:rsidRPr="00955DF7">
        <w:rPr>
          <w:rFonts w:ascii="Times New Roman" w:hAnsi="Times New Roman" w:cs="Times New Roman"/>
          <w:sz w:val="24"/>
          <w:szCs w:val="24"/>
          <w:lang/>
        </w:rPr>
        <w:t>ed</w:t>
      </w:r>
      <w:r w:rsidR="00397C2D" w:rsidRPr="00955DF7">
        <w:rPr>
          <w:rFonts w:ascii="Times New Roman" w:hAnsi="Times New Roman" w:cs="Times New Roman"/>
          <w:sz w:val="24"/>
          <w:szCs w:val="24"/>
          <w:lang/>
        </w:rPr>
        <w:t xml:space="preserve"> a significant shift in gender dynamics, with women increasingly entering the workforce</w:t>
      </w:r>
      <w:r w:rsidR="00955DF7">
        <w:rPr>
          <w:rFonts w:ascii="Times New Roman" w:hAnsi="Times New Roman" w:cs="Times New Roman"/>
          <w:sz w:val="24"/>
          <w:szCs w:val="24"/>
          <w:lang/>
        </w:rPr>
        <w:t xml:space="preserve"> (see Table 2)</w:t>
      </w:r>
      <w:r w:rsidR="00397C2D" w:rsidRPr="00955DF7">
        <w:rPr>
          <w:rFonts w:ascii="Times New Roman" w:hAnsi="Times New Roman" w:cs="Times New Roman"/>
          <w:sz w:val="24"/>
          <w:szCs w:val="24"/>
          <w:lang/>
        </w:rPr>
        <w:t xml:space="preserve">. The female labour force </w:t>
      </w:r>
      <w:r w:rsidR="00D81465" w:rsidRPr="00955DF7">
        <w:rPr>
          <w:rFonts w:ascii="Times New Roman" w:hAnsi="Times New Roman" w:cs="Times New Roman"/>
          <w:sz w:val="24"/>
          <w:szCs w:val="24"/>
          <w:lang/>
        </w:rPr>
        <w:t>grew</w:t>
      </w:r>
      <w:r w:rsidR="00397C2D" w:rsidRPr="00955DF7">
        <w:rPr>
          <w:rFonts w:ascii="Times New Roman" w:hAnsi="Times New Roman" w:cs="Times New Roman"/>
          <w:sz w:val="24"/>
          <w:szCs w:val="24"/>
          <w:lang/>
        </w:rPr>
        <w:t xml:space="preserve"> by over 16% both year-over-year and quarter-over-quarter, while the male labour force simultaneously contracted by more than 6% in both comparisons. </w:t>
      </w:r>
      <w:r w:rsidR="00D81465" w:rsidRPr="00955DF7">
        <w:rPr>
          <w:rFonts w:ascii="Times New Roman" w:hAnsi="Times New Roman" w:cs="Times New Roman"/>
          <w:sz w:val="24"/>
          <w:szCs w:val="24"/>
          <w:lang/>
        </w:rPr>
        <w:t>However,</w:t>
      </w:r>
      <w:r w:rsidR="00397C2D" w:rsidRPr="00955DF7">
        <w:rPr>
          <w:rFonts w:ascii="Times New Roman" w:hAnsi="Times New Roman" w:cs="Times New Roman"/>
          <w:sz w:val="24"/>
          <w:szCs w:val="24"/>
          <w:lang/>
        </w:rPr>
        <w:t xml:space="preserve"> this increased female participation has not been met with sufficient employment </w:t>
      </w:r>
      <w:r w:rsidR="00397C2D" w:rsidRPr="00955DF7">
        <w:rPr>
          <w:rFonts w:ascii="Times New Roman" w:hAnsi="Times New Roman" w:cs="Times New Roman"/>
          <w:sz w:val="24"/>
          <w:szCs w:val="24"/>
          <w:lang/>
        </w:rPr>
        <w:lastRenderedPageBreak/>
        <w:t>opportunities, as evidenced by a striking 72.93% rise in unemployed females since Q1 2024, and an even more dramatic 113.84% increase from Q4 2024. Consequently, the overall unemploy</w:t>
      </w:r>
      <w:r w:rsidR="00387405" w:rsidRPr="00955DF7">
        <w:rPr>
          <w:rFonts w:ascii="Times New Roman" w:hAnsi="Times New Roman" w:cs="Times New Roman"/>
          <w:sz w:val="24"/>
          <w:szCs w:val="24"/>
          <w:lang/>
        </w:rPr>
        <w:t>ment</w:t>
      </w:r>
      <w:r w:rsidR="00397C2D" w:rsidRPr="00955DF7">
        <w:rPr>
          <w:rFonts w:ascii="Times New Roman" w:hAnsi="Times New Roman" w:cs="Times New Roman"/>
          <w:sz w:val="24"/>
          <w:szCs w:val="24"/>
          <w:lang/>
        </w:rPr>
        <w:t xml:space="preserve"> rate climbed by 2.7 percentage points year-over-year to 14.1%, and 5.3 percentage point increase from the last quarter, </w:t>
      </w:r>
      <w:r w:rsidR="00D81465" w:rsidRPr="00955DF7">
        <w:rPr>
          <w:rFonts w:ascii="Times New Roman" w:hAnsi="Times New Roman" w:cs="Times New Roman"/>
          <w:sz w:val="24"/>
          <w:szCs w:val="24"/>
          <w:lang/>
        </w:rPr>
        <w:t>signalling</w:t>
      </w:r>
      <w:r w:rsidR="00397C2D" w:rsidRPr="00955DF7">
        <w:rPr>
          <w:rFonts w:ascii="Times New Roman" w:hAnsi="Times New Roman" w:cs="Times New Roman"/>
          <w:sz w:val="24"/>
          <w:szCs w:val="24"/>
          <w:lang/>
        </w:rPr>
        <w:t xml:space="preserve"> a notable de</w:t>
      </w:r>
      <w:r w:rsidR="00D81465" w:rsidRPr="00955DF7">
        <w:rPr>
          <w:rFonts w:ascii="Times New Roman" w:hAnsi="Times New Roman" w:cs="Times New Roman"/>
          <w:sz w:val="24"/>
          <w:szCs w:val="24"/>
          <w:lang/>
        </w:rPr>
        <w:t>cline</w:t>
      </w:r>
      <w:r w:rsidR="00397C2D" w:rsidRPr="00955DF7">
        <w:rPr>
          <w:rFonts w:ascii="Times New Roman" w:hAnsi="Times New Roman" w:cs="Times New Roman"/>
          <w:sz w:val="24"/>
          <w:szCs w:val="24"/>
          <w:lang/>
        </w:rPr>
        <w:t xml:space="preserve"> in the labour market conditions, particularly for women, in Q1 2025.</w:t>
      </w:r>
    </w:p>
    <w:p w14:paraId="2F877F0C" w14:textId="53AE5AAC" w:rsidR="00DD1CBA" w:rsidRPr="00BB0380" w:rsidRDefault="00DD1CBA" w:rsidP="00DD1CBA">
      <w:pPr>
        <w:rPr>
          <w:rFonts w:ascii="Times New Roman" w:hAnsi="Times New Roman" w:cs="Times New Roman"/>
          <w:b/>
          <w:bCs/>
          <w:i/>
          <w:iCs/>
          <w:sz w:val="18"/>
          <w:szCs w:val="18"/>
        </w:rPr>
      </w:pPr>
      <w:r w:rsidRPr="00BB0380">
        <w:rPr>
          <w:rFonts w:ascii="Times New Roman" w:hAnsi="Times New Roman" w:cs="Times New Roman"/>
          <w:b/>
          <w:bCs/>
          <w:i/>
          <w:iCs/>
          <w:sz w:val="18"/>
          <w:szCs w:val="18"/>
        </w:rPr>
        <w:t xml:space="preserve">Table </w:t>
      </w:r>
      <w:r w:rsidR="00955DF7" w:rsidRPr="00BB0380">
        <w:rPr>
          <w:rFonts w:ascii="Times New Roman" w:hAnsi="Times New Roman" w:cs="Times New Roman"/>
          <w:b/>
          <w:bCs/>
          <w:i/>
          <w:iCs/>
          <w:sz w:val="18"/>
          <w:szCs w:val="18"/>
        </w:rPr>
        <w:t>2</w:t>
      </w:r>
      <w:r w:rsidRPr="00BB0380">
        <w:rPr>
          <w:rFonts w:ascii="Times New Roman" w:hAnsi="Times New Roman" w:cs="Times New Roman"/>
          <w:b/>
          <w:bCs/>
          <w:i/>
          <w:iCs/>
          <w:sz w:val="18"/>
          <w:szCs w:val="18"/>
        </w:rPr>
        <w:t>: Main Indicator, Labour Force Survey</w:t>
      </w:r>
    </w:p>
    <w:tbl>
      <w:tblPr>
        <w:tblStyle w:val="TableGrid1"/>
        <w:tblW w:w="8642" w:type="dxa"/>
        <w:tblLayout w:type="fixed"/>
        <w:tblLook w:val="04A0" w:firstRow="1" w:lastRow="0" w:firstColumn="1" w:lastColumn="0" w:noHBand="0" w:noVBand="1"/>
      </w:tblPr>
      <w:tblGrid>
        <w:gridCol w:w="3114"/>
        <w:gridCol w:w="1276"/>
        <w:gridCol w:w="3260"/>
        <w:gridCol w:w="992"/>
      </w:tblGrid>
      <w:tr w:rsidR="00955DF7" w:rsidRPr="00955DF7" w14:paraId="1927D083" w14:textId="77777777" w:rsidTr="00733784">
        <w:trPr>
          <w:trHeight w:val="288"/>
        </w:trPr>
        <w:tc>
          <w:tcPr>
            <w:tcW w:w="3114" w:type="dxa"/>
            <w:noWrap/>
            <w:hideMark/>
          </w:tcPr>
          <w:p w14:paraId="0EF38454" w14:textId="77777777" w:rsidR="00DD1CBA" w:rsidRPr="00955DF7" w:rsidRDefault="00DD1CBA" w:rsidP="00DD1CBA">
            <w:pPr>
              <w:rPr>
                <w:rFonts w:ascii="Times New Roman" w:hAnsi="Times New Roman" w:cs="Times New Roman"/>
                <w:b/>
                <w:bCs/>
                <w:sz w:val="20"/>
                <w:szCs w:val="20"/>
              </w:rPr>
            </w:pPr>
            <w:bookmarkStart w:id="4" w:name="_Hlk201653579"/>
            <w:r w:rsidRPr="00955DF7">
              <w:rPr>
                <w:rFonts w:ascii="Times New Roman" w:hAnsi="Times New Roman" w:cs="Times New Roman"/>
                <w:b/>
                <w:bCs/>
                <w:sz w:val="20"/>
                <w:szCs w:val="20"/>
              </w:rPr>
              <w:t xml:space="preserve">Labour Force Indicators </w:t>
            </w:r>
          </w:p>
        </w:tc>
        <w:tc>
          <w:tcPr>
            <w:tcW w:w="1276" w:type="dxa"/>
            <w:noWrap/>
            <w:hideMark/>
          </w:tcPr>
          <w:p w14:paraId="2F2831C8" w14:textId="4ADE9D04"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xml:space="preserve">1st </w:t>
            </w:r>
            <w:r w:rsidR="00733784" w:rsidRPr="00955DF7">
              <w:rPr>
                <w:rFonts w:ascii="Times New Roman" w:hAnsi="Times New Roman" w:cs="Times New Roman"/>
                <w:b/>
                <w:bCs/>
                <w:sz w:val="20"/>
                <w:szCs w:val="20"/>
              </w:rPr>
              <w:t>Qtr.</w:t>
            </w:r>
            <w:r w:rsidRPr="00955DF7">
              <w:rPr>
                <w:rFonts w:ascii="Times New Roman" w:hAnsi="Times New Roman" w:cs="Times New Roman"/>
                <w:b/>
                <w:bCs/>
                <w:sz w:val="20"/>
                <w:szCs w:val="20"/>
              </w:rPr>
              <w:t xml:space="preserve"> 2025</w:t>
            </w:r>
          </w:p>
        </w:tc>
        <w:tc>
          <w:tcPr>
            <w:tcW w:w="3260" w:type="dxa"/>
          </w:tcPr>
          <w:p w14:paraId="340A8007"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Unemployment Rate %</w:t>
            </w:r>
          </w:p>
        </w:tc>
        <w:tc>
          <w:tcPr>
            <w:tcW w:w="992" w:type="dxa"/>
          </w:tcPr>
          <w:p w14:paraId="11DE5321"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14.1%</w:t>
            </w:r>
          </w:p>
        </w:tc>
      </w:tr>
      <w:tr w:rsidR="00955DF7" w:rsidRPr="00955DF7" w14:paraId="56CFC01F" w14:textId="77777777" w:rsidTr="00733784">
        <w:trPr>
          <w:trHeight w:val="300"/>
        </w:trPr>
        <w:tc>
          <w:tcPr>
            <w:tcW w:w="3114" w:type="dxa"/>
            <w:noWrap/>
            <w:hideMark/>
          </w:tcPr>
          <w:p w14:paraId="2776FBEC"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w:t>
            </w:r>
          </w:p>
        </w:tc>
        <w:tc>
          <w:tcPr>
            <w:tcW w:w="1276" w:type="dxa"/>
            <w:noWrap/>
            <w:hideMark/>
          </w:tcPr>
          <w:p w14:paraId="1AAB4768"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w:t>
            </w:r>
          </w:p>
        </w:tc>
        <w:tc>
          <w:tcPr>
            <w:tcW w:w="3260" w:type="dxa"/>
          </w:tcPr>
          <w:p w14:paraId="37DF1CE0"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xml:space="preserve">                   of which - Male</w:t>
            </w:r>
          </w:p>
        </w:tc>
        <w:tc>
          <w:tcPr>
            <w:tcW w:w="992" w:type="dxa"/>
          </w:tcPr>
          <w:p w14:paraId="05638AC8"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9.0%</w:t>
            </w:r>
          </w:p>
        </w:tc>
      </w:tr>
      <w:tr w:rsidR="00955DF7" w:rsidRPr="00955DF7" w14:paraId="0E14B6E9" w14:textId="77777777" w:rsidTr="00733784">
        <w:trPr>
          <w:trHeight w:val="288"/>
        </w:trPr>
        <w:tc>
          <w:tcPr>
            <w:tcW w:w="3114" w:type="dxa"/>
            <w:noWrap/>
            <w:hideMark/>
          </w:tcPr>
          <w:p w14:paraId="7B0A3834"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Estimated Household Population</w:t>
            </w:r>
          </w:p>
        </w:tc>
        <w:tc>
          <w:tcPr>
            <w:tcW w:w="1276" w:type="dxa"/>
            <w:noWrap/>
            <w:hideMark/>
          </w:tcPr>
          <w:p w14:paraId="521B2604"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185272</w:t>
            </w:r>
          </w:p>
        </w:tc>
        <w:tc>
          <w:tcPr>
            <w:tcW w:w="3260" w:type="dxa"/>
          </w:tcPr>
          <w:p w14:paraId="768E3C7E"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xml:space="preserve">                   of which- Female</w:t>
            </w:r>
          </w:p>
        </w:tc>
        <w:tc>
          <w:tcPr>
            <w:tcW w:w="992" w:type="dxa"/>
          </w:tcPr>
          <w:p w14:paraId="49B3B432"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19.1%</w:t>
            </w:r>
          </w:p>
        </w:tc>
      </w:tr>
      <w:tr w:rsidR="00955DF7" w:rsidRPr="00955DF7" w14:paraId="6F22F85D" w14:textId="77777777" w:rsidTr="00733784">
        <w:trPr>
          <w:trHeight w:val="288"/>
        </w:trPr>
        <w:tc>
          <w:tcPr>
            <w:tcW w:w="3114" w:type="dxa"/>
            <w:noWrap/>
            <w:hideMark/>
          </w:tcPr>
          <w:p w14:paraId="4BB9CCD4"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Population 15 years and over</w:t>
            </w:r>
          </w:p>
        </w:tc>
        <w:tc>
          <w:tcPr>
            <w:tcW w:w="1276" w:type="dxa"/>
            <w:noWrap/>
            <w:hideMark/>
          </w:tcPr>
          <w:p w14:paraId="31F3C618"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158482</w:t>
            </w:r>
          </w:p>
        </w:tc>
        <w:tc>
          <w:tcPr>
            <w:tcW w:w="3260" w:type="dxa"/>
          </w:tcPr>
          <w:p w14:paraId="700361D4"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c>
          <w:tcPr>
            <w:tcW w:w="992" w:type="dxa"/>
          </w:tcPr>
          <w:p w14:paraId="4CCCFD6C"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r>
      <w:tr w:rsidR="00955DF7" w:rsidRPr="00955DF7" w14:paraId="0E8C9925" w14:textId="77777777" w:rsidTr="00733784">
        <w:trPr>
          <w:trHeight w:val="288"/>
        </w:trPr>
        <w:tc>
          <w:tcPr>
            <w:tcW w:w="3114" w:type="dxa"/>
            <w:noWrap/>
            <w:hideMark/>
          </w:tcPr>
          <w:p w14:paraId="2B9F09B6"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Labour Force</w:t>
            </w:r>
          </w:p>
        </w:tc>
        <w:tc>
          <w:tcPr>
            <w:tcW w:w="1276" w:type="dxa"/>
            <w:noWrap/>
            <w:hideMark/>
          </w:tcPr>
          <w:p w14:paraId="0F4463C3"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112994</w:t>
            </w:r>
          </w:p>
        </w:tc>
        <w:tc>
          <w:tcPr>
            <w:tcW w:w="3260" w:type="dxa"/>
          </w:tcPr>
          <w:p w14:paraId="4DB3DEBF"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Youth Unemployment Rate %</w:t>
            </w:r>
          </w:p>
        </w:tc>
        <w:tc>
          <w:tcPr>
            <w:tcW w:w="992" w:type="dxa"/>
          </w:tcPr>
          <w:p w14:paraId="087513FD"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0.0%</w:t>
            </w:r>
          </w:p>
        </w:tc>
      </w:tr>
      <w:tr w:rsidR="00955DF7" w:rsidRPr="00955DF7" w14:paraId="7B9B9DBD" w14:textId="77777777" w:rsidTr="00733784">
        <w:trPr>
          <w:trHeight w:val="288"/>
        </w:trPr>
        <w:tc>
          <w:tcPr>
            <w:tcW w:w="3114" w:type="dxa"/>
            <w:noWrap/>
            <w:hideMark/>
          </w:tcPr>
          <w:p w14:paraId="42DBD7D0"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xml:space="preserve">                   of which - Male</w:t>
            </w:r>
          </w:p>
        </w:tc>
        <w:tc>
          <w:tcPr>
            <w:tcW w:w="1276" w:type="dxa"/>
            <w:noWrap/>
            <w:hideMark/>
          </w:tcPr>
          <w:p w14:paraId="06F32952"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55443</w:t>
            </w:r>
          </w:p>
        </w:tc>
        <w:tc>
          <w:tcPr>
            <w:tcW w:w="3260" w:type="dxa"/>
          </w:tcPr>
          <w:p w14:paraId="3984F1B3"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c>
          <w:tcPr>
            <w:tcW w:w="992" w:type="dxa"/>
          </w:tcPr>
          <w:p w14:paraId="3C3941BC"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r>
      <w:tr w:rsidR="00955DF7" w:rsidRPr="00955DF7" w14:paraId="06DF7F8D" w14:textId="77777777" w:rsidTr="00733784">
        <w:trPr>
          <w:trHeight w:val="288"/>
        </w:trPr>
        <w:tc>
          <w:tcPr>
            <w:tcW w:w="3114" w:type="dxa"/>
            <w:noWrap/>
            <w:hideMark/>
          </w:tcPr>
          <w:p w14:paraId="1BFF50B3"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xml:space="preserve">                   of which- Female</w:t>
            </w:r>
          </w:p>
        </w:tc>
        <w:tc>
          <w:tcPr>
            <w:tcW w:w="1276" w:type="dxa"/>
            <w:noWrap/>
            <w:hideMark/>
          </w:tcPr>
          <w:p w14:paraId="2CC7B261"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57551</w:t>
            </w:r>
          </w:p>
        </w:tc>
        <w:tc>
          <w:tcPr>
            <w:tcW w:w="3260" w:type="dxa"/>
          </w:tcPr>
          <w:p w14:paraId="0412F46E"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Relaxed Unemployment Rate %</w:t>
            </w:r>
          </w:p>
        </w:tc>
        <w:tc>
          <w:tcPr>
            <w:tcW w:w="992" w:type="dxa"/>
          </w:tcPr>
          <w:p w14:paraId="6637D47C"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15.3%</w:t>
            </w:r>
          </w:p>
        </w:tc>
      </w:tr>
      <w:tr w:rsidR="00955DF7" w:rsidRPr="00955DF7" w14:paraId="57643058" w14:textId="77777777" w:rsidTr="00733784">
        <w:trPr>
          <w:trHeight w:val="288"/>
        </w:trPr>
        <w:tc>
          <w:tcPr>
            <w:tcW w:w="3114" w:type="dxa"/>
            <w:noWrap/>
            <w:hideMark/>
          </w:tcPr>
          <w:p w14:paraId="472D0A48"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w:t>
            </w:r>
          </w:p>
        </w:tc>
        <w:tc>
          <w:tcPr>
            <w:tcW w:w="1276" w:type="dxa"/>
            <w:noWrap/>
            <w:hideMark/>
          </w:tcPr>
          <w:p w14:paraId="25F03FA1"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w:t>
            </w:r>
          </w:p>
        </w:tc>
        <w:tc>
          <w:tcPr>
            <w:tcW w:w="3260" w:type="dxa"/>
          </w:tcPr>
          <w:p w14:paraId="0CC5C44E"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c>
          <w:tcPr>
            <w:tcW w:w="992" w:type="dxa"/>
          </w:tcPr>
          <w:p w14:paraId="1A089C63"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r>
      <w:tr w:rsidR="00955DF7" w:rsidRPr="00955DF7" w14:paraId="2504A4FB" w14:textId="77777777" w:rsidTr="00733784">
        <w:trPr>
          <w:trHeight w:val="288"/>
        </w:trPr>
        <w:tc>
          <w:tcPr>
            <w:tcW w:w="3114" w:type="dxa"/>
            <w:noWrap/>
            <w:hideMark/>
          </w:tcPr>
          <w:p w14:paraId="399F8A84"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Employed Labour Force</w:t>
            </w:r>
          </w:p>
        </w:tc>
        <w:tc>
          <w:tcPr>
            <w:tcW w:w="1276" w:type="dxa"/>
            <w:noWrap/>
            <w:hideMark/>
          </w:tcPr>
          <w:p w14:paraId="3891CF08"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97033</w:t>
            </w:r>
          </w:p>
        </w:tc>
        <w:tc>
          <w:tcPr>
            <w:tcW w:w="3260" w:type="dxa"/>
          </w:tcPr>
          <w:p w14:paraId="4CC04105"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Non-Job Seeking Rate %</w:t>
            </w:r>
          </w:p>
        </w:tc>
        <w:tc>
          <w:tcPr>
            <w:tcW w:w="992" w:type="dxa"/>
          </w:tcPr>
          <w:p w14:paraId="068B31DD"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1.2%</w:t>
            </w:r>
          </w:p>
        </w:tc>
      </w:tr>
      <w:tr w:rsidR="00955DF7" w:rsidRPr="00955DF7" w14:paraId="6BEBD4C4" w14:textId="77777777" w:rsidTr="00733784">
        <w:trPr>
          <w:trHeight w:val="288"/>
        </w:trPr>
        <w:tc>
          <w:tcPr>
            <w:tcW w:w="3114" w:type="dxa"/>
            <w:noWrap/>
            <w:hideMark/>
          </w:tcPr>
          <w:p w14:paraId="3E3A05C7"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xml:space="preserve">                       of which -Male </w:t>
            </w:r>
          </w:p>
        </w:tc>
        <w:tc>
          <w:tcPr>
            <w:tcW w:w="1276" w:type="dxa"/>
            <w:noWrap/>
            <w:hideMark/>
          </w:tcPr>
          <w:p w14:paraId="52FC7FE7"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50456</w:t>
            </w:r>
          </w:p>
        </w:tc>
        <w:tc>
          <w:tcPr>
            <w:tcW w:w="3260" w:type="dxa"/>
          </w:tcPr>
          <w:p w14:paraId="3BC3AE3D"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c>
          <w:tcPr>
            <w:tcW w:w="992" w:type="dxa"/>
          </w:tcPr>
          <w:p w14:paraId="5D003486"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r>
      <w:tr w:rsidR="00955DF7" w:rsidRPr="00955DF7" w14:paraId="4CA95D54" w14:textId="77777777" w:rsidTr="00733784">
        <w:trPr>
          <w:trHeight w:val="288"/>
        </w:trPr>
        <w:tc>
          <w:tcPr>
            <w:tcW w:w="3114" w:type="dxa"/>
            <w:noWrap/>
            <w:hideMark/>
          </w:tcPr>
          <w:p w14:paraId="514E461C"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xml:space="preserve">                       of which -Female </w:t>
            </w:r>
          </w:p>
        </w:tc>
        <w:tc>
          <w:tcPr>
            <w:tcW w:w="1276" w:type="dxa"/>
            <w:noWrap/>
            <w:hideMark/>
          </w:tcPr>
          <w:p w14:paraId="42E47105"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46578</w:t>
            </w:r>
          </w:p>
        </w:tc>
        <w:tc>
          <w:tcPr>
            <w:tcW w:w="3260" w:type="dxa"/>
          </w:tcPr>
          <w:p w14:paraId="50D0A648"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Population under 15 years (%)</w:t>
            </w:r>
          </w:p>
        </w:tc>
        <w:tc>
          <w:tcPr>
            <w:tcW w:w="992" w:type="dxa"/>
          </w:tcPr>
          <w:p w14:paraId="6F87ED59"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14.5%</w:t>
            </w:r>
          </w:p>
        </w:tc>
      </w:tr>
      <w:tr w:rsidR="00955DF7" w:rsidRPr="00955DF7" w14:paraId="159B988A" w14:textId="77777777" w:rsidTr="00733784">
        <w:trPr>
          <w:trHeight w:val="288"/>
        </w:trPr>
        <w:tc>
          <w:tcPr>
            <w:tcW w:w="3114" w:type="dxa"/>
            <w:noWrap/>
            <w:hideMark/>
          </w:tcPr>
          <w:p w14:paraId="1C78D718"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Employment Rate</w:t>
            </w:r>
          </w:p>
        </w:tc>
        <w:tc>
          <w:tcPr>
            <w:tcW w:w="1276" w:type="dxa"/>
            <w:noWrap/>
            <w:hideMark/>
          </w:tcPr>
          <w:p w14:paraId="62E07654"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85.9%</w:t>
            </w:r>
          </w:p>
        </w:tc>
        <w:tc>
          <w:tcPr>
            <w:tcW w:w="3260" w:type="dxa"/>
          </w:tcPr>
          <w:p w14:paraId="582860B6"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xml:space="preserve">Labour Force as a Percentage of Total </w:t>
            </w:r>
          </w:p>
        </w:tc>
        <w:tc>
          <w:tcPr>
            <w:tcW w:w="992" w:type="dxa"/>
          </w:tcPr>
          <w:p w14:paraId="20130B0C"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r>
      <w:tr w:rsidR="00955DF7" w:rsidRPr="00955DF7" w14:paraId="1BED2E09" w14:textId="77777777" w:rsidTr="00733784">
        <w:trPr>
          <w:trHeight w:val="288"/>
        </w:trPr>
        <w:tc>
          <w:tcPr>
            <w:tcW w:w="3114" w:type="dxa"/>
            <w:noWrap/>
            <w:hideMark/>
          </w:tcPr>
          <w:p w14:paraId="0D379D0F"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w:t>
            </w:r>
          </w:p>
        </w:tc>
        <w:tc>
          <w:tcPr>
            <w:tcW w:w="1276" w:type="dxa"/>
            <w:noWrap/>
            <w:hideMark/>
          </w:tcPr>
          <w:p w14:paraId="29910165"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w:t>
            </w:r>
          </w:p>
        </w:tc>
        <w:tc>
          <w:tcPr>
            <w:tcW w:w="3260" w:type="dxa"/>
          </w:tcPr>
          <w:p w14:paraId="3AEF5B54"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Population</w:t>
            </w:r>
          </w:p>
        </w:tc>
        <w:tc>
          <w:tcPr>
            <w:tcW w:w="992" w:type="dxa"/>
          </w:tcPr>
          <w:p w14:paraId="0B8F84FA"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61.0%</w:t>
            </w:r>
          </w:p>
        </w:tc>
      </w:tr>
      <w:tr w:rsidR="00955DF7" w:rsidRPr="00955DF7" w14:paraId="0FF21D9C" w14:textId="77777777" w:rsidTr="00733784">
        <w:trPr>
          <w:trHeight w:val="288"/>
        </w:trPr>
        <w:tc>
          <w:tcPr>
            <w:tcW w:w="3114" w:type="dxa"/>
            <w:noWrap/>
            <w:hideMark/>
          </w:tcPr>
          <w:p w14:paraId="750BC01F"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Persons who want work</w:t>
            </w:r>
          </w:p>
        </w:tc>
        <w:tc>
          <w:tcPr>
            <w:tcW w:w="1276" w:type="dxa"/>
            <w:noWrap/>
            <w:hideMark/>
          </w:tcPr>
          <w:p w14:paraId="5ED64F95"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w:t>
            </w:r>
          </w:p>
        </w:tc>
        <w:tc>
          <w:tcPr>
            <w:tcW w:w="3260" w:type="dxa"/>
          </w:tcPr>
          <w:p w14:paraId="5EB7FDBD"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c>
          <w:tcPr>
            <w:tcW w:w="992" w:type="dxa"/>
          </w:tcPr>
          <w:p w14:paraId="538E2A1B"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r>
      <w:tr w:rsidR="00955DF7" w:rsidRPr="00955DF7" w14:paraId="28F58C39" w14:textId="77777777" w:rsidTr="00733784">
        <w:trPr>
          <w:trHeight w:val="288"/>
        </w:trPr>
        <w:tc>
          <w:tcPr>
            <w:tcW w:w="3114" w:type="dxa"/>
            <w:noWrap/>
            <w:hideMark/>
          </w:tcPr>
          <w:p w14:paraId="5666AE4E"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(I)     The Unemployed</w:t>
            </w:r>
          </w:p>
        </w:tc>
        <w:tc>
          <w:tcPr>
            <w:tcW w:w="1276" w:type="dxa"/>
            <w:noWrap/>
            <w:hideMark/>
          </w:tcPr>
          <w:p w14:paraId="3C39CEDD"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15961</w:t>
            </w:r>
          </w:p>
        </w:tc>
        <w:tc>
          <w:tcPr>
            <w:tcW w:w="3260" w:type="dxa"/>
          </w:tcPr>
          <w:p w14:paraId="10C1B6AD"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Labour Force as a Percentage of</w:t>
            </w:r>
          </w:p>
        </w:tc>
        <w:tc>
          <w:tcPr>
            <w:tcW w:w="992" w:type="dxa"/>
          </w:tcPr>
          <w:p w14:paraId="7289BBC6"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r>
      <w:tr w:rsidR="00955DF7" w:rsidRPr="00955DF7" w14:paraId="4ED473E2" w14:textId="77777777" w:rsidTr="00733784">
        <w:trPr>
          <w:trHeight w:val="288"/>
        </w:trPr>
        <w:tc>
          <w:tcPr>
            <w:tcW w:w="3114" w:type="dxa"/>
            <w:noWrap/>
            <w:hideMark/>
          </w:tcPr>
          <w:p w14:paraId="6F1132C2"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xml:space="preserve">                   of which - Male</w:t>
            </w:r>
          </w:p>
        </w:tc>
        <w:tc>
          <w:tcPr>
            <w:tcW w:w="1276" w:type="dxa"/>
            <w:noWrap/>
            <w:hideMark/>
          </w:tcPr>
          <w:p w14:paraId="01D52455"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4987</w:t>
            </w:r>
          </w:p>
        </w:tc>
        <w:tc>
          <w:tcPr>
            <w:tcW w:w="3260" w:type="dxa"/>
          </w:tcPr>
          <w:p w14:paraId="68DF7B10"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Population 15 years and over OR</w:t>
            </w:r>
          </w:p>
        </w:tc>
        <w:tc>
          <w:tcPr>
            <w:tcW w:w="992" w:type="dxa"/>
          </w:tcPr>
          <w:p w14:paraId="6080F8C4"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 </w:t>
            </w:r>
          </w:p>
        </w:tc>
      </w:tr>
      <w:tr w:rsidR="00955DF7" w:rsidRPr="00955DF7" w14:paraId="25AB778E" w14:textId="77777777" w:rsidTr="00733784">
        <w:trPr>
          <w:trHeight w:val="288"/>
        </w:trPr>
        <w:tc>
          <w:tcPr>
            <w:tcW w:w="3114" w:type="dxa"/>
            <w:noWrap/>
            <w:hideMark/>
          </w:tcPr>
          <w:p w14:paraId="476E8888"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 xml:space="preserve">                   of which- Female</w:t>
            </w:r>
          </w:p>
        </w:tc>
        <w:tc>
          <w:tcPr>
            <w:tcW w:w="1276" w:type="dxa"/>
            <w:noWrap/>
            <w:hideMark/>
          </w:tcPr>
          <w:p w14:paraId="7678A4AA"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10974</w:t>
            </w:r>
          </w:p>
        </w:tc>
        <w:tc>
          <w:tcPr>
            <w:tcW w:w="3260" w:type="dxa"/>
          </w:tcPr>
          <w:p w14:paraId="0D52171B"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Labour Force Participation Rate</w:t>
            </w:r>
          </w:p>
        </w:tc>
        <w:tc>
          <w:tcPr>
            <w:tcW w:w="992" w:type="dxa"/>
          </w:tcPr>
          <w:p w14:paraId="214D1857" w14:textId="77777777" w:rsidR="00DD1CBA" w:rsidRPr="00955DF7" w:rsidRDefault="00DD1CBA" w:rsidP="00DD1CBA">
            <w:pPr>
              <w:rPr>
                <w:rFonts w:ascii="Arial" w:hAnsi="Arial" w:cs="Times New Roman"/>
              </w:rPr>
            </w:pPr>
            <w:r w:rsidRPr="00955DF7">
              <w:rPr>
                <w:rFonts w:ascii="Times New Roman" w:hAnsi="Times New Roman" w:cs="Times New Roman"/>
                <w:b/>
                <w:bCs/>
                <w:sz w:val="20"/>
                <w:szCs w:val="20"/>
              </w:rPr>
              <w:t>71.3%</w:t>
            </w:r>
          </w:p>
        </w:tc>
      </w:tr>
      <w:tr w:rsidR="00733784" w:rsidRPr="00955DF7" w14:paraId="6F2443B3" w14:textId="77777777" w:rsidTr="00733784">
        <w:trPr>
          <w:gridAfter w:val="2"/>
          <w:wAfter w:w="4252" w:type="dxa"/>
          <w:trHeight w:val="288"/>
        </w:trPr>
        <w:tc>
          <w:tcPr>
            <w:tcW w:w="3114" w:type="dxa"/>
            <w:noWrap/>
            <w:hideMark/>
          </w:tcPr>
          <w:p w14:paraId="3E165409"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(ii)    Non-Seekers</w:t>
            </w:r>
          </w:p>
        </w:tc>
        <w:tc>
          <w:tcPr>
            <w:tcW w:w="1276" w:type="dxa"/>
            <w:noWrap/>
            <w:hideMark/>
          </w:tcPr>
          <w:p w14:paraId="79A2A1C0" w14:textId="77777777" w:rsidR="00DD1CBA" w:rsidRPr="00955DF7" w:rsidRDefault="00DD1CBA" w:rsidP="00DD1CBA">
            <w:pPr>
              <w:rPr>
                <w:rFonts w:ascii="Times New Roman" w:hAnsi="Times New Roman" w:cs="Times New Roman"/>
                <w:b/>
                <w:bCs/>
                <w:sz w:val="20"/>
                <w:szCs w:val="20"/>
              </w:rPr>
            </w:pPr>
            <w:r w:rsidRPr="00955DF7">
              <w:rPr>
                <w:rFonts w:ascii="Times New Roman" w:hAnsi="Times New Roman" w:cs="Times New Roman"/>
                <w:b/>
                <w:bCs/>
                <w:sz w:val="20"/>
                <w:szCs w:val="20"/>
              </w:rPr>
              <w:t>1321</w:t>
            </w:r>
          </w:p>
        </w:tc>
      </w:tr>
      <w:bookmarkEnd w:id="4"/>
    </w:tbl>
    <w:p w14:paraId="562802C0" w14:textId="77777777" w:rsidR="00397C2D" w:rsidRPr="00955DF7" w:rsidRDefault="00397C2D" w:rsidP="00B557FA">
      <w:pPr>
        <w:rPr>
          <w:rFonts w:ascii="Times New Roman" w:hAnsi="Times New Roman" w:cs="Times New Roman"/>
          <w:lang/>
        </w:rPr>
      </w:pPr>
    </w:p>
    <w:p w14:paraId="328AF393" w14:textId="28C07E93" w:rsidR="00397C2D" w:rsidRPr="00A743A9" w:rsidRDefault="00513A5A" w:rsidP="00A743A9">
      <w:pPr>
        <w:pStyle w:val="Heading1"/>
        <w:rPr>
          <w:b/>
          <w:bCs/>
          <w:sz w:val="28"/>
          <w:szCs w:val="28"/>
          <w:lang/>
        </w:rPr>
      </w:pPr>
      <w:bookmarkStart w:id="5" w:name="_Toc201755040"/>
      <w:r w:rsidRPr="00A743A9">
        <w:rPr>
          <w:b/>
          <w:bCs/>
          <w:sz w:val="28"/>
          <w:szCs w:val="28"/>
          <w:lang/>
        </w:rPr>
        <w:lastRenderedPageBreak/>
        <w:t>EMPLOYED LABOUR FORCE</w:t>
      </w:r>
      <w:bookmarkEnd w:id="5"/>
    </w:p>
    <w:p w14:paraId="2A794313" w14:textId="215E85C1" w:rsidR="00B91474" w:rsidRPr="00955DF7" w:rsidRDefault="00B91474" w:rsidP="0018381E">
      <w:pPr>
        <w:spacing w:line="360" w:lineRule="auto"/>
        <w:rPr>
          <w:rFonts w:ascii="Times New Roman" w:hAnsi="Times New Roman" w:cs="Times New Roman"/>
          <w:sz w:val="24"/>
          <w:szCs w:val="24"/>
          <w:lang/>
        </w:rPr>
      </w:pPr>
      <w:r w:rsidRPr="00955DF7">
        <w:rPr>
          <w:rFonts w:ascii="Times New Roman" w:hAnsi="Times New Roman" w:cs="Times New Roman"/>
          <w:sz w:val="24"/>
          <w:szCs w:val="24"/>
          <w:lang/>
        </w:rPr>
        <w:t xml:space="preserve">The </w:t>
      </w:r>
      <w:r w:rsidRPr="00A743A9">
        <w:rPr>
          <w:rFonts w:ascii="Times New Roman" w:hAnsi="Times New Roman" w:cs="Times New Roman"/>
          <w:sz w:val="24"/>
          <w:szCs w:val="24"/>
          <w:lang/>
        </w:rPr>
        <w:t xml:space="preserve">provided </w:t>
      </w:r>
      <w:r w:rsidR="00955DF7" w:rsidRPr="00A743A9">
        <w:rPr>
          <w:rFonts w:ascii="Times New Roman" w:hAnsi="Times New Roman" w:cs="Times New Roman"/>
          <w:sz w:val="24"/>
          <w:szCs w:val="24"/>
          <w:lang/>
        </w:rPr>
        <w:t>table 3</w:t>
      </w:r>
      <w:r w:rsidR="001E4E0B" w:rsidRPr="00A743A9">
        <w:rPr>
          <w:rFonts w:ascii="Times New Roman" w:hAnsi="Times New Roman" w:cs="Times New Roman"/>
          <w:sz w:val="24"/>
          <w:szCs w:val="24"/>
          <w:lang/>
        </w:rPr>
        <w:t xml:space="preserve"> and </w:t>
      </w:r>
      <w:r w:rsidR="00AD5494" w:rsidRPr="00A743A9">
        <w:rPr>
          <w:rFonts w:ascii="Times New Roman" w:hAnsi="Times New Roman" w:cs="Times New Roman"/>
          <w:sz w:val="24"/>
          <w:szCs w:val="24"/>
          <w:lang/>
        </w:rPr>
        <w:t>Figure</w:t>
      </w:r>
      <w:r w:rsidR="001E4E0B" w:rsidRPr="00A743A9">
        <w:rPr>
          <w:rFonts w:ascii="Times New Roman" w:hAnsi="Times New Roman" w:cs="Times New Roman"/>
          <w:sz w:val="24"/>
          <w:szCs w:val="24"/>
          <w:lang/>
        </w:rPr>
        <w:t xml:space="preserve"> </w:t>
      </w:r>
      <w:r w:rsidR="00AD5494" w:rsidRPr="00A743A9">
        <w:rPr>
          <w:rFonts w:ascii="Times New Roman" w:hAnsi="Times New Roman" w:cs="Times New Roman"/>
          <w:sz w:val="24"/>
          <w:szCs w:val="24"/>
          <w:lang/>
        </w:rPr>
        <w:t>1,</w:t>
      </w:r>
      <w:r w:rsidRPr="00A743A9">
        <w:rPr>
          <w:rFonts w:ascii="Times New Roman" w:hAnsi="Times New Roman" w:cs="Times New Roman"/>
          <w:sz w:val="24"/>
          <w:szCs w:val="24"/>
          <w:lang/>
        </w:rPr>
        <w:t>"</w:t>
      </w:r>
      <w:r w:rsidR="00955DF7" w:rsidRPr="00A743A9">
        <w:rPr>
          <w:rFonts w:ascii="Times New Roman" w:hAnsi="Times New Roman" w:cs="Times New Roman"/>
          <w:sz w:val="24"/>
          <w:szCs w:val="24"/>
          <w:lang/>
        </w:rPr>
        <w:t xml:space="preserve"> </w:t>
      </w:r>
      <w:r w:rsidR="001E4E0B" w:rsidRPr="00A743A9">
        <w:rPr>
          <w:rFonts w:ascii="Times New Roman" w:hAnsi="Times New Roman" w:cs="Times New Roman"/>
          <w:sz w:val="24"/>
          <w:szCs w:val="24"/>
          <w:lang/>
        </w:rPr>
        <w:t>Employed</w:t>
      </w:r>
      <w:r w:rsidR="001E4E0B" w:rsidRPr="00955DF7">
        <w:rPr>
          <w:rFonts w:ascii="Times New Roman" w:hAnsi="Times New Roman" w:cs="Times New Roman"/>
          <w:sz w:val="24"/>
          <w:szCs w:val="24"/>
          <w:lang/>
        </w:rPr>
        <w:t xml:space="preserve"> Labour Force by Age Group and Sex," </w:t>
      </w:r>
      <w:r w:rsidR="00AD5494">
        <w:rPr>
          <w:rFonts w:ascii="Times New Roman" w:hAnsi="Times New Roman" w:cs="Times New Roman"/>
          <w:sz w:val="24"/>
          <w:szCs w:val="24"/>
          <w:lang/>
        </w:rPr>
        <w:t>present</w:t>
      </w:r>
      <w:r w:rsidRPr="00955DF7">
        <w:rPr>
          <w:rFonts w:ascii="Times New Roman" w:hAnsi="Times New Roman" w:cs="Times New Roman"/>
          <w:sz w:val="24"/>
          <w:szCs w:val="24"/>
          <w:lang/>
        </w:rPr>
        <w:t xml:space="preserve"> a quarterly breakdown of employment figures by age group for Saint Lucia, covering the 1st Quarter of 2025, 4th Quarter of 2024, and 1st Quarter of 2024. The total employed labour force in Saint Lucia for the 1st Quarter of 2025 was 97,033, which represents a slight decrease from 99,453 in the 4th Quarter of 2024 but an increase from 96,434 in the 1st Quarter of 2024.</w:t>
      </w:r>
    </w:p>
    <w:p w14:paraId="090F0506" w14:textId="2ECD5A48" w:rsidR="00B91474" w:rsidRPr="00955DF7" w:rsidRDefault="00496FEA" w:rsidP="0018381E">
      <w:pPr>
        <w:spacing w:line="360" w:lineRule="auto"/>
        <w:rPr>
          <w:rFonts w:ascii="Times New Roman" w:hAnsi="Times New Roman" w:cs="Times New Roman"/>
          <w:sz w:val="24"/>
          <w:szCs w:val="24"/>
          <w:lang/>
        </w:rPr>
      </w:pPr>
      <w:r w:rsidRPr="00955DF7">
        <w:rPr>
          <w:rFonts w:ascii="Times New Roman" w:hAnsi="Times New Roman" w:cs="Times New Roman"/>
          <w:sz w:val="24"/>
          <w:szCs w:val="24"/>
          <w:lang/>
        </w:rPr>
        <w:t>T</w:t>
      </w:r>
      <w:r w:rsidR="00B91474" w:rsidRPr="00955DF7">
        <w:rPr>
          <w:rFonts w:ascii="Times New Roman" w:hAnsi="Times New Roman" w:cs="Times New Roman"/>
          <w:sz w:val="24"/>
          <w:szCs w:val="24"/>
          <w:lang/>
        </w:rPr>
        <w:t>he age distribution for Q1 2025</w:t>
      </w:r>
      <w:r w:rsidRPr="00955DF7">
        <w:rPr>
          <w:rFonts w:ascii="Times New Roman" w:hAnsi="Times New Roman" w:cs="Times New Roman"/>
          <w:sz w:val="24"/>
          <w:szCs w:val="24"/>
          <w:lang/>
        </w:rPr>
        <w:t xml:space="preserve"> showed</w:t>
      </w:r>
      <w:r w:rsidR="00B91474" w:rsidRPr="00955DF7">
        <w:rPr>
          <w:rFonts w:ascii="Times New Roman" w:hAnsi="Times New Roman" w:cs="Times New Roman"/>
          <w:sz w:val="24"/>
          <w:szCs w:val="24"/>
          <w:lang/>
        </w:rPr>
        <w:t xml:space="preserve">, the largest age group in terms of employment was "45-49 Years" with 10,609 employed individuals, closely followed by "35-39 Years" with 10,591 and "50-54 Years" with 11,531. In contrast, the youngest demographic, "15-19 Years," consistently had the lowest employment figures, with </w:t>
      </w:r>
      <w:r w:rsidR="00BB0380">
        <w:rPr>
          <w:rFonts w:ascii="Times New Roman" w:hAnsi="Times New Roman" w:cs="Times New Roman"/>
          <w:sz w:val="24"/>
          <w:szCs w:val="24"/>
          <w:lang/>
        </w:rPr>
        <w:t xml:space="preserve">0.69% </w:t>
      </w:r>
      <w:r w:rsidR="00B91474" w:rsidRPr="00955DF7">
        <w:rPr>
          <w:rFonts w:ascii="Times New Roman" w:hAnsi="Times New Roman" w:cs="Times New Roman"/>
          <w:sz w:val="24"/>
          <w:szCs w:val="24"/>
          <w:lang/>
        </w:rPr>
        <w:t>in Q1 2025, a significant drop from 1</w:t>
      </w:r>
      <w:r w:rsidR="00BB0380">
        <w:rPr>
          <w:rFonts w:ascii="Times New Roman" w:hAnsi="Times New Roman" w:cs="Times New Roman"/>
          <w:sz w:val="24"/>
          <w:szCs w:val="24"/>
          <w:lang/>
        </w:rPr>
        <w:t>.1</w:t>
      </w:r>
      <w:r w:rsidR="00B91474" w:rsidRPr="00955DF7">
        <w:rPr>
          <w:rFonts w:ascii="Times New Roman" w:hAnsi="Times New Roman" w:cs="Times New Roman"/>
          <w:sz w:val="24"/>
          <w:szCs w:val="24"/>
          <w:lang/>
        </w:rPr>
        <w:t>1</w:t>
      </w:r>
      <w:r w:rsidR="00BB0380">
        <w:rPr>
          <w:rFonts w:ascii="Times New Roman" w:hAnsi="Times New Roman" w:cs="Times New Roman"/>
          <w:sz w:val="24"/>
          <w:szCs w:val="24"/>
          <w:lang/>
        </w:rPr>
        <w:t>%</w:t>
      </w:r>
      <w:r w:rsidR="00B91474" w:rsidRPr="00955DF7">
        <w:rPr>
          <w:rFonts w:ascii="Times New Roman" w:hAnsi="Times New Roman" w:cs="Times New Roman"/>
          <w:sz w:val="24"/>
          <w:szCs w:val="24"/>
          <w:lang/>
        </w:rPr>
        <w:t xml:space="preserve"> in Q4 2024 and 1</w:t>
      </w:r>
      <w:r w:rsidR="00BB0380">
        <w:rPr>
          <w:rFonts w:ascii="Times New Roman" w:hAnsi="Times New Roman" w:cs="Times New Roman"/>
          <w:sz w:val="24"/>
          <w:szCs w:val="24"/>
          <w:lang/>
        </w:rPr>
        <w:t>.</w:t>
      </w:r>
      <w:r w:rsidR="00B91474" w:rsidRPr="00955DF7">
        <w:rPr>
          <w:rFonts w:ascii="Times New Roman" w:hAnsi="Times New Roman" w:cs="Times New Roman"/>
          <w:sz w:val="24"/>
          <w:szCs w:val="24"/>
          <w:lang/>
        </w:rPr>
        <w:t>3</w:t>
      </w:r>
      <w:r w:rsidR="00BB0380">
        <w:rPr>
          <w:rFonts w:ascii="Times New Roman" w:hAnsi="Times New Roman" w:cs="Times New Roman"/>
          <w:sz w:val="24"/>
          <w:szCs w:val="24"/>
          <w:lang/>
        </w:rPr>
        <w:t>6%</w:t>
      </w:r>
      <w:r w:rsidR="00B91474" w:rsidRPr="00955DF7">
        <w:rPr>
          <w:rFonts w:ascii="Times New Roman" w:hAnsi="Times New Roman" w:cs="Times New Roman"/>
          <w:sz w:val="24"/>
          <w:szCs w:val="24"/>
          <w:lang/>
        </w:rPr>
        <w:t xml:space="preserve"> in Q1 2024. The "Over 65 Years" group also showed a notable decrease in employment from 8</w:t>
      </w:r>
      <w:r w:rsidR="00BB0380">
        <w:rPr>
          <w:rFonts w:ascii="Times New Roman" w:hAnsi="Times New Roman" w:cs="Times New Roman"/>
          <w:sz w:val="24"/>
          <w:szCs w:val="24"/>
          <w:lang/>
        </w:rPr>
        <w:t>.31%</w:t>
      </w:r>
      <w:r w:rsidR="00B91474" w:rsidRPr="00955DF7">
        <w:rPr>
          <w:rFonts w:ascii="Times New Roman" w:hAnsi="Times New Roman" w:cs="Times New Roman"/>
          <w:sz w:val="24"/>
          <w:szCs w:val="24"/>
          <w:lang/>
        </w:rPr>
        <w:t xml:space="preserve"> in Q4 2024 to 5</w:t>
      </w:r>
      <w:r w:rsidR="00BB0380">
        <w:rPr>
          <w:rFonts w:ascii="Times New Roman" w:hAnsi="Times New Roman" w:cs="Times New Roman"/>
          <w:sz w:val="24"/>
          <w:szCs w:val="24"/>
          <w:lang/>
        </w:rPr>
        <w:t>.85%</w:t>
      </w:r>
      <w:r w:rsidR="00B91474" w:rsidRPr="00955DF7">
        <w:rPr>
          <w:rFonts w:ascii="Times New Roman" w:hAnsi="Times New Roman" w:cs="Times New Roman"/>
          <w:sz w:val="24"/>
          <w:szCs w:val="24"/>
          <w:lang/>
        </w:rPr>
        <w:t xml:space="preserve"> in Q1 </w:t>
      </w:r>
      <w:r w:rsidR="008D6BC9" w:rsidRPr="00955DF7">
        <w:rPr>
          <w:noProof/>
        </w:rPr>
        <w:drawing>
          <wp:anchor distT="0" distB="0" distL="114300" distR="114300" simplePos="0" relativeHeight="251673600" behindDoc="0" locked="0" layoutInCell="1" allowOverlap="1" wp14:anchorId="5C77BA87" wp14:editId="6227D4D3">
            <wp:simplePos x="0" y="0"/>
            <wp:positionH relativeFrom="column">
              <wp:posOffset>-368300</wp:posOffset>
            </wp:positionH>
            <wp:positionV relativeFrom="paragraph">
              <wp:posOffset>692150</wp:posOffset>
            </wp:positionV>
            <wp:extent cx="3909060" cy="3006090"/>
            <wp:effectExtent l="0" t="0" r="15240" b="3810"/>
            <wp:wrapThrough wrapText="bothSides">
              <wp:wrapPolygon edited="0">
                <wp:start x="0" y="0"/>
                <wp:lineTo x="0" y="21490"/>
                <wp:lineTo x="21579" y="21490"/>
                <wp:lineTo x="21579" y="0"/>
                <wp:lineTo x="0" y="0"/>
              </wp:wrapPolygon>
            </wp:wrapThrough>
            <wp:docPr id="661014868" name="Chart 1">
              <a:extLst xmlns:a="http://schemas.openxmlformats.org/drawingml/2006/main">
                <a:ext uri="{FF2B5EF4-FFF2-40B4-BE49-F238E27FC236}">
                  <a16:creationId xmlns:a16="http://schemas.microsoft.com/office/drawing/2014/main" id="{E4B02FEE-0293-E352-F1C7-72BB76F90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B91474" w:rsidRPr="00955DF7">
        <w:rPr>
          <w:rFonts w:ascii="Times New Roman" w:hAnsi="Times New Roman" w:cs="Times New Roman"/>
          <w:sz w:val="24"/>
          <w:szCs w:val="24"/>
          <w:lang/>
        </w:rPr>
        <w:t>2025</w:t>
      </w:r>
      <w:r w:rsidR="00BB12BF">
        <w:rPr>
          <w:rFonts w:ascii="Times New Roman" w:hAnsi="Times New Roman" w:cs="Times New Roman"/>
          <w:sz w:val="24"/>
          <w:szCs w:val="24"/>
          <w:lang/>
        </w:rPr>
        <w:t>,</w:t>
      </w:r>
      <w:r w:rsidRPr="00955DF7">
        <w:rPr>
          <w:rFonts w:ascii="Times New Roman" w:hAnsi="Times New Roman" w:cs="Times New Roman"/>
          <w:sz w:val="24"/>
          <w:szCs w:val="24"/>
          <w:lang/>
        </w:rPr>
        <w:t xml:space="preserve"> as depicted in </w:t>
      </w:r>
      <w:r w:rsidR="00BB0380" w:rsidRPr="00A743A9">
        <w:rPr>
          <w:rFonts w:ascii="Times New Roman" w:hAnsi="Times New Roman" w:cs="Times New Roman"/>
          <w:sz w:val="24"/>
          <w:szCs w:val="24"/>
          <w:lang/>
        </w:rPr>
        <w:t>Table</w:t>
      </w:r>
      <w:r w:rsidRPr="00A743A9">
        <w:rPr>
          <w:rFonts w:ascii="Times New Roman" w:hAnsi="Times New Roman" w:cs="Times New Roman"/>
          <w:sz w:val="24"/>
          <w:szCs w:val="24"/>
          <w:lang/>
        </w:rPr>
        <w:t xml:space="preserve"> </w:t>
      </w:r>
      <w:r w:rsidR="00E477EF" w:rsidRPr="00A743A9">
        <w:rPr>
          <w:rFonts w:ascii="Times New Roman" w:hAnsi="Times New Roman" w:cs="Times New Roman"/>
          <w:sz w:val="24"/>
          <w:szCs w:val="24"/>
          <w:lang/>
        </w:rPr>
        <w:t>3.</w:t>
      </w:r>
    </w:p>
    <w:p w14:paraId="43621EF4" w14:textId="77777777" w:rsidR="00BB0380" w:rsidRPr="00BB0380" w:rsidRDefault="00B91474" w:rsidP="00F971CE">
      <w:pPr>
        <w:spacing w:line="360" w:lineRule="auto"/>
        <w:rPr>
          <w:rFonts w:ascii="Times New Roman" w:hAnsi="Times New Roman" w:cs="Times New Roman"/>
          <w:b/>
          <w:bCs/>
          <w:i/>
          <w:iCs/>
          <w:sz w:val="16"/>
          <w:szCs w:val="16"/>
        </w:rPr>
      </w:pPr>
      <w:r w:rsidRPr="00955DF7">
        <w:rPr>
          <w:rFonts w:ascii="Times New Roman" w:hAnsi="Times New Roman" w:cs="Times New Roman"/>
          <w:sz w:val="24"/>
          <w:szCs w:val="24"/>
          <w:lang/>
        </w:rPr>
        <w:t xml:space="preserve">Comparing the quarters, there are some shifts in employment concentration. </w:t>
      </w:r>
      <w:r w:rsidR="00F971CE" w:rsidRPr="00F971CE">
        <w:rPr>
          <w:rFonts w:ascii="Times New Roman" w:hAnsi="Times New Roman" w:cs="Times New Roman"/>
          <w:sz w:val="24"/>
          <w:szCs w:val="24"/>
        </w:rPr>
        <w:t xml:space="preserve">The distribution of the workforce by age group reveals shifts between Q1 2024 and Q1 2025. While the 20-24, 25-29, and 45-49 age groups generally represented significant portions of the workforce, their percentages fluctuated, with the 25-29 group notably increasing its share in Q1 2025 after a peak in Q4 2024. Conversely, the 15-19 age </w:t>
      </w:r>
      <w:r w:rsidR="00F971CE" w:rsidRPr="00BB0380">
        <w:rPr>
          <w:rFonts w:ascii="Times New Roman" w:hAnsi="Times New Roman" w:cs="Times New Roman"/>
          <w:b/>
          <w:bCs/>
          <w:i/>
          <w:iCs/>
          <w:sz w:val="16"/>
          <w:szCs w:val="16"/>
        </w:rPr>
        <w:t xml:space="preserve">group saw a consistent decline in its share. The 30-34 and 35-39 age </w:t>
      </w:r>
    </w:p>
    <w:p w14:paraId="0B20FA51" w14:textId="5DB0BE7D" w:rsidR="00BB0380" w:rsidRPr="00BB0380" w:rsidRDefault="00BB0380" w:rsidP="00BB0380">
      <w:pPr>
        <w:spacing w:line="360" w:lineRule="auto"/>
        <w:rPr>
          <w:rFonts w:ascii="Times New Roman" w:hAnsi="Times New Roman" w:cs="Times New Roman"/>
          <w:b/>
          <w:bCs/>
          <w:i/>
          <w:iCs/>
          <w:sz w:val="16"/>
          <w:szCs w:val="16"/>
        </w:rPr>
      </w:pPr>
      <w:r w:rsidRPr="00BB0380">
        <w:rPr>
          <w:rFonts w:ascii="Times New Roman" w:hAnsi="Times New Roman" w:cs="Times New Roman"/>
          <w:b/>
          <w:bCs/>
          <w:i/>
          <w:iCs/>
          <w:sz w:val="16"/>
          <w:szCs w:val="16"/>
        </w:rPr>
        <w:t xml:space="preserve">Figure 1: Employed Labour Force by Age Group and Sex </w:t>
      </w:r>
      <w:r>
        <w:rPr>
          <w:rFonts w:ascii="Times New Roman" w:hAnsi="Times New Roman" w:cs="Times New Roman"/>
          <w:b/>
          <w:bCs/>
          <w:i/>
          <w:iCs/>
          <w:sz w:val="16"/>
          <w:szCs w:val="16"/>
        </w:rPr>
        <w:t xml:space="preserve">Qtr. </w:t>
      </w:r>
      <w:r w:rsidRPr="00BB0380">
        <w:rPr>
          <w:rFonts w:ascii="Times New Roman" w:hAnsi="Times New Roman" w:cs="Times New Roman"/>
          <w:b/>
          <w:bCs/>
          <w:i/>
          <w:iCs/>
          <w:sz w:val="16"/>
          <w:szCs w:val="16"/>
        </w:rPr>
        <w:t>1 2025</w:t>
      </w:r>
    </w:p>
    <w:p w14:paraId="1F489E17" w14:textId="41004BA0" w:rsidR="00F971CE" w:rsidRPr="00955DF7" w:rsidRDefault="00F971CE" w:rsidP="00F971CE">
      <w:pPr>
        <w:spacing w:line="360" w:lineRule="auto"/>
        <w:rPr>
          <w:rFonts w:ascii="Times New Roman" w:hAnsi="Times New Roman" w:cs="Times New Roman"/>
          <w:sz w:val="24"/>
          <w:szCs w:val="24"/>
          <w:lang/>
        </w:rPr>
      </w:pPr>
      <w:r w:rsidRPr="00F971CE">
        <w:rPr>
          <w:rFonts w:ascii="Times New Roman" w:hAnsi="Times New Roman" w:cs="Times New Roman"/>
          <w:sz w:val="24"/>
          <w:szCs w:val="24"/>
        </w:rPr>
        <w:lastRenderedPageBreak/>
        <w:t>groups experienced some shifts in their relative proportions, while the over 65 years group also saw a decrease in its share from Q4 2024 to Q1 2025, after an increase from Q1 2024. These changes suggest dynamic movements in the age composition of the workforce over the observed period.</w:t>
      </w:r>
      <w:r>
        <w:rPr>
          <w:rFonts w:ascii="Times New Roman" w:hAnsi="Times New Roman" w:cs="Times New Roman"/>
          <w:sz w:val="24"/>
          <w:szCs w:val="24"/>
        </w:rPr>
        <w:t xml:space="preserve"> </w:t>
      </w:r>
      <w:r w:rsidR="00B91474" w:rsidRPr="00955DF7">
        <w:rPr>
          <w:rFonts w:ascii="Times New Roman" w:hAnsi="Times New Roman" w:cs="Times New Roman"/>
          <w:sz w:val="24"/>
          <w:szCs w:val="24"/>
          <w:lang/>
        </w:rPr>
        <w:t xml:space="preserve">These fluctuations indicate changes in employment distribution across different age cohorts </w:t>
      </w:r>
    </w:p>
    <w:tbl>
      <w:tblPr>
        <w:tblpPr w:leftFromText="180" w:rightFromText="180" w:vertAnchor="text" w:horzAnchor="page" w:tblpX="7641" w:tblpY="138"/>
        <w:tblW w:w="7240" w:type="dxa"/>
        <w:tblLook w:val="04A0" w:firstRow="1" w:lastRow="0" w:firstColumn="1" w:lastColumn="0" w:noHBand="0" w:noVBand="1"/>
      </w:tblPr>
      <w:tblGrid>
        <w:gridCol w:w="2400"/>
        <w:gridCol w:w="1640"/>
        <w:gridCol w:w="1340"/>
        <w:gridCol w:w="1860"/>
      </w:tblGrid>
      <w:tr w:rsidR="00F971CE" w:rsidRPr="00AD5494" w14:paraId="4939C5E1" w14:textId="77777777" w:rsidTr="00F971CE">
        <w:trPr>
          <w:trHeight w:val="530"/>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E59C8A" w14:textId="77777777" w:rsidR="00F971CE" w:rsidRPr="00AD5494" w:rsidRDefault="00F971CE" w:rsidP="00F971CE">
            <w:pPr>
              <w:spacing w:after="0" w:line="240" w:lineRule="auto"/>
              <w:rPr>
                <w:rFonts w:ascii="Arial" w:eastAsia="Times New Roman" w:hAnsi="Arial" w:cs="Arial"/>
                <w:b/>
                <w:bCs/>
                <w:color w:val="1B1C1D"/>
                <w:sz w:val="20"/>
                <w:szCs w:val="20"/>
                <w:lang/>
              </w:rPr>
            </w:pPr>
            <w:r w:rsidRPr="00AD5494">
              <w:rPr>
                <w:rFonts w:ascii="Arial" w:eastAsia="Times New Roman" w:hAnsi="Arial" w:cs="Arial"/>
                <w:b/>
                <w:bCs/>
                <w:color w:val="1B1C1D"/>
                <w:sz w:val="20"/>
                <w:szCs w:val="20"/>
                <w:lang/>
              </w:rPr>
              <w:t>Age Group</w:t>
            </w:r>
          </w:p>
        </w:tc>
        <w:tc>
          <w:tcPr>
            <w:tcW w:w="1640" w:type="dxa"/>
            <w:tcBorders>
              <w:top w:val="single" w:sz="8" w:space="0" w:color="000000"/>
              <w:left w:val="nil"/>
              <w:bottom w:val="single" w:sz="8" w:space="0" w:color="000000"/>
              <w:right w:val="single" w:sz="8" w:space="0" w:color="000000"/>
            </w:tcBorders>
            <w:shd w:val="clear" w:color="auto" w:fill="auto"/>
            <w:vAlign w:val="center"/>
            <w:hideMark/>
          </w:tcPr>
          <w:p w14:paraId="66B33F36" w14:textId="77777777" w:rsidR="00F971CE" w:rsidRPr="00AD5494" w:rsidRDefault="00F971CE" w:rsidP="00F971CE">
            <w:pPr>
              <w:spacing w:after="0" w:line="240" w:lineRule="auto"/>
              <w:rPr>
                <w:rFonts w:ascii="Arial" w:eastAsia="Times New Roman" w:hAnsi="Arial" w:cs="Arial"/>
                <w:b/>
                <w:bCs/>
                <w:color w:val="1B1C1D"/>
                <w:sz w:val="20"/>
                <w:szCs w:val="20"/>
                <w:lang/>
              </w:rPr>
            </w:pPr>
            <w:r w:rsidRPr="00AD5494">
              <w:rPr>
                <w:rFonts w:ascii="Arial" w:eastAsia="Times New Roman" w:hAnsi="Arial" w:cs="Arial"/>
                <w:b/>
                <w:bCs/>
                <w:color w:val="1B1C1D"/>
                <w:sz w:val="20"/>
                <w:szCs w:val="20"/>
                <w:lang/>
              </w:rPr>
              <w:t>1 Qtr 2025 (%)</w:t>
            </w:r>
          </w:p>
        </w:tc>
        <w:tc>
          <w:tcPr>
            <w:tcW w:w="1340" w:type="dxa"/>
            <w:tcBorders>
              <w:top w:val="single" w:sz="8" w:space="0" w:color="000000"/>
              <w:left w:val="nil"/>
              <w:bottom w:val="single" w:sz="8" w:space="0" w:color="000000"/>
              <w:right w:val="single" w:sz="8" w:space="0" w:color="000000"/>
            </w:tcBorders>
            <w:shd w:val="clear" w:color="auto" w:fill="auto"/>
            <w:vAlign w:val="center"/>
            <w:hideMark/>
          </w:tcPr>
          <w:p w14:paraId="058CD5BC" w14:textId="77777777" w:rsidR="00F971CE" w:rsidRPr="00AD5494" w:rsidRDefault="00F971CE" w:rsidP="00F971CE">
            <w:pPr>
              <w:spacing w:after="0" w:line="240" w:lineRule="auto"/>
              <w:rPr>
                <w:rFonts w:ascii="Arial" w:eastAsia="Times New Roman" w:hAnsi="Arial" w:cs="Arial"/>
                <w:b/>
                <w:bCs/>
                <w:color w:val="1B1C1D"/>
                <w:sz w:val="20"/>
                <w:szCs w:val="20"/>
                <w:lang/>
              </w:rPr>
            </w:pPr>
            <w:r w:rsidRPr="00AD5494">
              <w:rPr>
                <w:rFonts w:ascii="Arial" w:eastAsia="Times New Roman" w:hAnsi="Arial" w:cs="Arial"/>
                <w:b/>
                <w:bCs/>
                <w:color w:val="1B1C1D"/>
                <w:sz w:val="20"/>
                <w:szCs w:val="20"/>
                <w:lang/>
              </w:rPr>
              <w:t>4th Qtr 2024 (%)</w:t>
            </w:r>
          </w:p>
        </w:tc>
        <w:tc>
          <w:tcPr>
            <w:tcW w:w="1860" w:type="dxa"/>
            <w:tcBorders>
              <w:top w:val="single" w:sz="8" w:space="0" w:color="000000"/>
              <w:left w:val="nil"/>
              <w:bottom w:val="single" w:sz="8" w:space="0" w:color="000000"/>
              <w:right w:val="single" w:sz="8" w:space="0" w:color="000000"/>
            </w:tcBorders>
            <w:shd w:val="clear" w:color="auto" w:fill="auto"/>
            <w:vAlign w:val="center"/>
            <w:hideMark/>
          </w:tcPr>
          <w:p w14:paraId="06F03BFB" w14:textId="77777777" w:rsidR="00F971CE" w:rsidRPr="00AD5494" w:rsidRDefault="00F971CE" w:rsidP="00F971CE">
            <w:pPr>
              <w:spacing w:after="0" w:line="240" w:lineRule="auto"/>
              <w:rPr>
                <w:rFonts w:ascii="Arial" w:eastAsia="Times New Roman" w:hAnsi="Arial" w:cs="Arial"/>
                <w:b/>
                <w:bCs/>
                <w:color w:val="1B1C1D"/>
                <w:sz w:val="20"/>
                <w:szCs w:val="20"/>
                <w:lang/>
              </w:rPr>
            </w:pPr>
            <w:r w:rsidRPr="00AD5494">
              <w:rPr>
                <w:rFonts w:ascii="Arial" w:eastAsia="Times New Roman" w:hAnsi="Arial" w:cs="Arial"/>
                <w:b/>
                <w:bCs/>
                <w:color w:val="1B1C1D"/>
                <w:sz w:val="20"/>
                <w:szCs w:val="20"/>
                <w:lang/>
              </w:rPr>
              <w:t>1st Qtr 2024 (%)</w:t>
            </w:r>
          </w:p>
        </w:tc>
      </w:tr>
      <w:tr w:rsidR="00F971CE" w:rsidRPr="00AD5494" w14:paraId="379831B2"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48691D55"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15-19 Years</w:t>
            </w:r>
          </w:p>
        </w:tc>
        <w:tc>
          <w:tcPr>
            <w:tcW w:w="1640" w:type="dxa"/>
            <w:tcBorders>
              <w:top w:val="nil"/>
              <w:left w:val="nil"/>
              <w:bottom w:val="single" w:sz="8" w:space="0" w:color="000000"/>
              <w:right w:val="single" w:sz="8" w:space="0" w:color="000000"/>
            </w:tcBorders>
            <w:shd w:val="clear" w:color="auto" w:fill="auto"/>
            <w:vAlign w:val="center"/>
            <w:hideMark/>
          </w:tcPr>
          <w:p w14:paraId="0397227F"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0.69</w:t>
            </w:r>
          </w:p>
        </w:tc>
        <w:tc>
          <w:tcPr>
            <w:tcW w:w="1340" w:type="dxa"/>
            <w:tcBorders>
              <w:top w:val="nil"/>
              <w:left w:val="nil"/>
              <w:bottom w:val="single" w:sz="8" w:space="0" w:color="000000"/>
              <w:right w:val="single" w:sz="8" w:space="0" w:color="000000"/>
            </w:tcBorders>
            <w:shd w:val="clear" w:color="auto" w:fill="auto"/>
            <w:vAlign w:val="center"/>
            <w:hideMark/>
          </w:tcPr>
          <w:p w14:paraId="581302BB"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1.11</w:t>
            </w:r>
          </w:p>
        </w:tc>
        <w:tc>
          <w:tcPr>
            <w:tcW w:w="1860" w:type="dxa"/>
            <w:tcBorders>
              <w:top w:val="nil"/>
              <w:left w:val="nil"/>
              <w:bottom w:val="single" w:sz="8" w:space="0" w:color="000000"/>
              <w:right w:val="single" w:sz="8" w:space="0" w:color="000000"/>
            </w:tcBorders>
            <w:shd w:val="clear" w:color="auto" w:fill="auto"/>
            <w:vAlign w:val="center"/>
            <w:hideMark/>
          </w:tcPr>
          <w:p w14:paraId="6C5C9A4B"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1.36</w:t>
            </w:r>
          </w:p>
        </w:tc>
      </w:tr>
      <w:tr w:rsidR="00F971CE" w:rsidRPr="00AD5494" w14:paraId="0DDF0509"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64B75CA4"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20-24 Years</w:t>
            </w:r>
          </w:p>
        </w:tc>
        <w:tc>
          <w:tcPr>
            <w:tcW w:w="1640" w:type="dxa"/>
            <w:tcBorders>
              <w:top w:val="nil"/>
              <w:left w:val="nil"/>
              <w:bottom w:val="single" w:sz="8" w:space="0" w:color="000000"/>
              <w:right w:val="single" w:sz="8" w:space="0" w:color="000000"/>
            </w:tcBorders>
            <w:shd w:val="clear" w:color="auto" w:fill="auto"/>
            <w:vAlign w:val="center"/>
            <w:hideMark/>
          </w:tcPr>
          <w:p w14:paraId="6969FDC1"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8.95</w:t>
            </w:r>
          </w:p>
        </w:tc>
        <w:tc>
          <w:tcPr>
            <w:tcW w:w="1340" w:type="dxa"/>
            <w:tcBorders>
              <w:top w:val="nil"/>
              <w:left w:val="nil"/>
              <w:bottom w:val="single" w:sz="8" w:space="0" w:color="000000"/>
              <w:right w:val="single" w:sz="8" w:space="0" w:color="000000"/>
            </w:tcBorders>
            <w:shd w:val="clear" w:color="auto" w:fill="auto"/>
            <w:vAlign w:val="center"/>
            <w:hideMark/>
          </w:tcPr>
          <w:p w14:paraId="2238D0D2"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10.29</w:t>
            </w:r>
          </w:p>
        </w:tc>
        <w:tc>
          <w:tcPr>
            <w:tcW w:w="1860" w:type="dxa"/>
            <w:tcBorders>
              <w:top w:val="nil"/>
              <w:left w:val="nil"/>
              <w:bottom w:val="single" w:sz="8" w:space="0" w:color="000000"/>
              <w:right w:val="single" w:sz="8" w:space="0" w:color="000000"/>
            </w:tcBorders>
            <w:shd w:val="clear" w:color="auto" w:fill="auto"/>
            <w:vAlign w:val="center"/>
            <w:hideMark/>
          </w:tcPr>
          <w:p w14:paraId="78AFDDDB"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10.39</w:t>
            </w:r>
          </w:p>
        </w:tc>
      </w:tr>
      <w:tr w:rsidR="00F971CE" w:rsidRPr="00AD5494" w14:paraId="42E1FC09"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3FD0E217"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25-29 Years</w:t>
            </w:r>
          </w:p>
        </w:tc>
        <w:tc>
          <w:tcPr>
            <w:tcW w:w="1640" w:type="dxa"/>
            <w:tcBorders>
              <w:top w:val="nil"/>
              <w:left w:val="nil"/>
              <w:bottom w:val="single" w:sz="8" w:space="0" w:color="000000"/>
              <w:right w:val="single" w:sz="8" w:space="0" w:color="000000"/>
            </w:tcBorders>
            <w:shd w:val="clear" w:color="auto" w:fill="auto"/>
            <w:vAlign w:val="center"/>
            <w:hideMark/>
          </w:tcPr>
          <w:p w14:paraId="4B7E728F"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10.09</w:t>
            </w:r>
          </w:p>
        </w:tc>
        <w:tc>
          <w:tcPr>
            <w:tcW w:w="1340" w:type="dxa"/>
            <w:tcBorders>
              <w:top w:val="nil"/>
              <w:left w:val="nil"/>
              <w:bottom w:val="single" w:sz="8" w:space="0" w:color="000000"/>
              <w:right w:val="single" w:sz="8" w:space="0" w:color="000000"/>
            </w:tcBorders>
            <w:shd w:val="clear" w:color="auto" w:fill="auto"/>
            <w:vAlign w:val="center"/>
            <w:hideMark/>
          </w:tcPr>
          <w:p w14:paraId="4CFDA87F"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11.18</w:t>
            </w:r>
          </w:p>
        </w:tc>
        <w:tc>
          <w:tcPr>
            <w:tcW w:w="1860" w:type="dxa"/>
            <w:tcBorders>
              <w:top w:val="nil"/>
              <w:left w:val="nil"/>
              <w:bottom w:val="single" w:sz="8" w:space="0" w:color="000000"/>
              <w:right w:val="single" w:sz="8" w:space="0" w:color="000000"/>
            </w:tcBorders>
            <w:shd w:val="clear" w:color="auto" w:fill="auto"/>
            <w:vAlign w:val="center"/>
            <w:hideMark/>
          </w:tcPr>
          <w:p w14:paraId="3A35F417"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9.56</w:t>
            </w:r>
          </w:p>
        </w:tc>
      </w:tr>
      <w:tr w:rsidR="00F971CE" w:rsidRPr="00AD5494" w14:paraId="464BC067"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728EAB66"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30-34 Years</w:t>
            </w:r>
          </w:p>
        </w:tc>
        <w:tc>
          <w:tcPr>
            <w:tcW w:w="1640" w:type="dxa"/>
            <w:tcBorders>
              <w:top w:val="nil"/>
              <w:left w:val="nil"/>
              <w:bottom w:val="single" w:sz="8" w:space="0" w:color="000000"/>
              <w:right w:val="single" w:sz="8" w:space="0" w:color="000000"/>
            </w:tcBorders>
            <w:shd w:val="clear" w:color="auto" w:fill="auto"/>
            <w:vAlign w:val="center"/>
            <w:hideMark/>
          </w:tcPr>
          <w:p w14:paraId="665268DB"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10.25</w:t>
            </w:r>
          </w:p>
        </w:tc>
        <w:tc>
          <w:tcPr>
            <w:tcW w:w="1340" w:type="dxa"/>
            <w:tcBorders>
              <w:top w:val="nil"/>
              <w:left w:val="nil"/>
              <w:bottom w:val="single" w:sz="8" w:space="0" w:color="000000"/>
              <w:right w:val="single" w:sz="8" w:space="0" w:color="000000"/>
            </w:tcBorders>
            <w:shd w:val="clear" w:color="auto" w:fill="auto"/>
            <w:vAlign w:val="center"/>
            <w:hideMark/>
          </w:tcPr>
          <w:p w14:paraId="028D7CB1"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9.59</w:t>
            </w:r>
          </w:p>
        </w:tc>
        <w:tc>
          <w:tcPr>
            <w:tcW w:w="1860" w:type="dxa"/>
            <w:tcBorders>
              <w:top w:val="nil"/>
              <w:left w:val="nil"/>
              <w:bottom w:val="single" w:sz="8" w:space="0" w:color="000000"/>
              <w:right w:val="single" w:sz="8" w:space="0" w:color="000000"/>
            </w:tcBorders>
            <w:shd w:val="clear" w:color="auto" w:fill="auto"/>
            <w:vAlign w:val="center"/>
            <w:hideMark/>
          </w:tcPr>
          <w:p w14:paraId="08F551B2"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10.82</w:t>
            </w:r>
          </w:p>
        </w:tc>
      </w:tr>
      <w:tr w:rsidR="00F971CE" w:rsidRPr="00AD5494" w14:paraId="3B906E86"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63211CBA"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35-39 Years</w:t>
            </w:r>
          </w:p>
        </w:tc>
        <w:tc>
          <w:tcPr>
            <w:tcW w:w="1640" w:type="dxa"/>
            <w:tcBorders>
              <w:top w:val="nil"/>
              <w:left w:val="nil"/>
              <w:bottom w:val="single" w:sz="8" w:space="0" w:color="000000"/>
              <w:right w:val="single" w:sz="8" w:space="0" w:color="000000"/>
            </w:tcBorders>
            <w:shd w:val="clear" w:color="auto" w:fill="auto"/>
            <w:vAlign w:val="center"/>
            <w:hideMark/>
          </w:tcPr>
          <w:p w14:paraId="0857FD04"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10.91</w:t>
            </w:r>
          </w:p>
        </w:tc>
        <w:tc>
          <w:tcPr>
            <w:tcW w:w="1340" w:type="dxa"/>
            <w:tcBorders>
              <w:top w:val="nil"/>
              <w:left w:val="nil"/>
              <w:bottom w:val="single" w:sz="8" w:space="0" w:color="000000"/>
              <w:right w:val="single" w:sz="8" w:space="0" w:color="000000"/>
            </w:tcBorders>
            <w:shd w:val="clear" w:color="auto" w:fill="auto"/>
            <w:vAlign w:val="center"/>
            <w:hideMark/>
          </w:tcPr>
          <w:p w14:paraId="32923614"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8.63</w:t>
            </w:r>
          </w:p>
        </w:tc>
        <w:tc>
          <w:tcPr>
            <w:tcW w:w="1860" w:type="dxa"/>
            <w:tcBorders>
              <w:top w:val="nil"/>
              <w:left w:val="nil"/>
              <w:bottom w:val="single" w:sz="8" w:space="0" w:color="000000"/>
              <w:right w:val="single" w:sz="8" w:space="0" w:color="000000"/>
            </w:tcBorders>
            <w:shd w:val="clear" w:color="auto" w:fill="auto"/>
            <w:vAlign w:val="center"/>
            <w:hideMark/>
          </w:tcPr>
          <w:p w14:paraId="2E317CE0"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9.11</w:t>
            </w:r>
          </w:p>
        </w:tc>
      </w:tr>
      <w:tr w:rsidR="00F971CE" w:rsidRPr="00AD5494" w14:paraId="49B265C6"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2EECD9A8"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40-44 Years</w:t>
            </w:r>
          </w:p>
        </w:tc>
        <w:tc>
          <w:tcPr>
            <w:tcW w:w="1640" w:type="dxa"/>
            <w:tcBorders>
              <w:top w:val="nil"/>
              <w:left w:val="nil"/>
              <w:bottom w:val="single" w:sz="8" w:space="0" w:color="000000"/>
              <w:right w:val="single" w:sz="8" w:space="0" w:color="000000"/>
            </w:tcBorders>
            <w:shd w:val="clear" w:color="auto" w:fill="auto"/>
            <w:vAlign w:val="center"/>
            <w:hideMark/>
          </w:tcPr>
          <w:p w14:paraId="4F66C6BD"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9.84</w:t>
            </w:r>
          </w:p>
        </w:tc>
        <w:tc>
          <w:tcPr>
            <w:tcW w:w="1340" w:type="dxa"/>
            <w:tcBorders>
              <w:top w:val="nil"/>
              <w:left w:val="nil"/>
              <w:bottom w:val="single" w:sz="8" w:space="0" w:color="000000"/>
              <w:right w:val="single" w:sz="8" w:space="0" w:color="000000"/>
            </w:tcBorders>
            <w:shd w:val="clear" w:color="auto" w:fill="auto"/>
            <w:vAlign w:val="center"/>
            <w:hideMark/>
          </w:tcPr>
          <w:p w14:paraId="34E33028"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8.91</w:t>
            </w:r>
          </w:p>
        </w:tc>
        <w:tc>
          <w:tcPr>
            <w:tcW w:w="1860" w:type="dxa"/>
            <w:tcBorders>
              <w:top w:val="nil"/>
              <w:left w:val="nil"/>
              <w:bottom w:val="single" w:sz="8" w:space="0" w:color="000000"/>
              <w:right w:val="single" w:sz="8" w:space="0" w:color="000000"/>
            </w:tcBorders>
            <w:shd w:val="clear" w:color="auto" w:fill="auto"/>
            <w:vAlign w:val="center"/>
            <w:hideMark/>
          </w:tcPr>
          <w:p w14:paraId="0ABB2CCD"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9.48</w:t>
            </w:r>
          </w:p>
        </w:tc>
      </w:tr>
      <w:tr w:rsidR="00F971CE" w:rsidRPr="00AD5494" w14:paraId="427110AF"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5BF74AB3"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45-49 Years</w:t>
            </w:r>
          </w:p>
        </w:tc>
        <w:tc>
          <w:tcPr>
            <w:tcW w:w="1640" w:type="dxa"/>
            <w:tcBorders>
              <w:top w:val="nil"/>
              <w:left w:val="nil"/>
              <w:bottom w:val="single" w:sz="8" w:space="0" w:color="000000"/>
              <w:right w:val="single" w:sz="8" w:space="0" w:color="000000"/>
            </w:tcBorders>
            <w:shd w:val="clear" w:color="auto" w:fill="auto"/>
            <w:vAlign w:val="center"/>
            <w:hideMark/>
          </w:tcPr>
          <w:p w14:paraId="38F992D7"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10.93</w:t>
            </w:r>
          </w:p>
        </w:tc>
        <w:tc>
          <w:tcPr>
            <w:tcW w:w="1340" w:type="dxa"/>
            <w:tcBorders>
              <w:top w:val="nil"/>
              <w:left w:val="nil"/>
              <w:bottom w:val="single" w:sz="8" w:space="0" w:color="000000"/>
              <w:right w:val="single" w:sz="8" w:space="0" w:color="000000"/>
            </w:tcBorders>
            <w:shd w:val="clear" w:color="auto" w:fill="auto"/>
            <w:vAlign w:val="center"/>
            <w:hideMark/>
          </w:tcPr>
          <w:p w14:paraId="59830577"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10.77</w:t>
            </w:r>
          </w:p>
        </w:tc>
        <w:tc>
          <w:tcPr>
            <w:tcW w:w="1860" w:type="dxa"/>
            <w:tcBorders>
              <w:top w:val="nil"/>
              <w:left w:val="nil"/>
              <w:bottom w:val="single" w:sz="8" w:space="0" w:color="000000"/>
              <w:right w:val="single" w:sz="8" w:space="0" w:color="000000"/>
            </w:tcBorders>
            <w:shd w:val="clear" w:color="auto" w:fill="auto"/>
            <w:vAlign w:val="center"/>
            <w:hideMark/>
          </w:tcPr>
          <w:p w14:paraId="12758B63"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12.88</w:t>
            </w:r>
          </w:p>
        </w:tc>
      </w:tr>
      <w:tr w:rsidR="00F971CE" w:rsidRPr="00AD5494" w14:paraId="6BF28153"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0699DA80"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50-54 Years</w:t>
            </w:r>
          </w:p>
        </w:tc>
        <w:tc>
          <w:tcPr>
            <w:tcW w:w="1640" w:type="dxa"/>
            <w:tcBorders>
              <w:top w:val="nil"/>
              <w:left w:val="nil"/>
              <w:bottom w:val="single" w:sz="8" w:space="0" w:color="000000"/>
              <w:right w:val="single" w:sz="8" w:space="0" w:color="000000"/>
            </w:tcBorders>
            <w:shd w:val="clear" w:color="auto" w:fill="auto"/>
            <w:vAlign w:val="center"/>
            <w:hideMark/>
          </w:tcPr>
          <w:p w14:paraId="57601A91"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11.89</w:t>
            </w:r>
          </w:p>
        </w:tc>
        <w:tc>
          <w:tcPr>
            <w:tcW w:w="1340" w:type="dxa"/>
            <w:tcBorders>
              <w:top w:val="nil"/>
              <w:left w:val="nil"/>
              <w:bottom w:val="single" w:sz="8" w:space="0" w:color="000000"/>
              <w:right w:val="single" w:sz="8" w:space="0" w:color="000000"/>
            </w:tcBorders>
            <w:shd w:val="clear" w:color="auto" w:fill="auto"/>
            <w:vAlign w:val="center"/>
            <w:hideMark/>
          </w:tcPr>
          <w:p w14:paraId="1CE8241D"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12.83</w:t>
            </w:r>
          </w:p>
        </w:tc>
        <w:tc>
          <w:tcPr>
            <w:tcW w:w="1860" w:type="dxa"/>
            <w:tcBorders>
              <w:top w:val="nil"/>
              <w:left w:val="nil"/>
              <w:bottom w:val="single" w:sz="8" w:space="0" w:color="000000"/>
              <w:right w:val="single" w:sz="8" w:space="0" w:color="000000"/>
            </w:tcBorders>
            <w:shd w:val="clear" w:color="auto" w:fill="auto"/>
            <w:vAlign w:val="center"/>
            <w:hideMark/>
          </w:tcPr>
          <w:p w14:paraId="10BE348B"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11.64</w:t>
            </w:r>
          </w:p>
        </w:tc>
      </w:tr>
      <w:tr w:rsidR="00F971CE" w:rsidRPr="00AD5494" w14:paraId="0D779311"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51583C45"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55-59 Years</w:t>
            </w:r>
          </w:p>
        </w:tc>
        <w:tc>
          <w:tcPr>
            <w:tcW w:w="1640" w:type="dxa"/>
            <w:tcBorders>
              <w:top w:val="nil"/>
              <w:left w:val="nil"/>
              <w:bottom w:val="single" w:sz="8" w:space="0" w:color="000000"/>
              <w:right w:val="single" w:sz="8" w:space="0" w:color="000000"/>
            </w:tcBorders>
            <w:shd w:val="clear" w:color="auto" w:fill="auto"/>
            <w:vAlign w:val="center"/>
            <w:hideMark/>
          </w:tcPr>
          <w:p w14:paraId="410D0B4B"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11.43</w:t>
            </w:r>
          </w:p>
        </w:tc>
        <w:tc>
          <w:tcPr>
            <w:tcW w:w="1340" w:type="dxa"/>
            <w:tcBorders>
              <w:top w:val="nil"/>
              <w:left w:val="nil"/>
              <w:bottom w:val="single" w:sz="8" w:space="0" w:color="000000"/>
              <w:right w:val="single" w:sz="8" w:space="0" w:color="000000"/>
            </w:tcBorders>
            <w:shd w:val="clear" w:color="auto" w:fill="auto"/>
            <w:vAlign w:val="center"/>
            <w:hideMark/>
          </w:tcPr>
          <w:p w14:paraId="2C770920"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9.39</w:t>
            </w:r>
          </w:p>
        </w:tc>
        <w:tc>
          <w:tcPr>
            <w:tcW w:w="1860" w:type="dxa"/>
            <w:tcBorders>
              <w:top w:val="nil"/>
              <w:left w:val="nil"/>
              <w:bottom w:val="single" w:sz="8" w:space="0" w:color="000000"/>
              <w:right w:val="single" w:sz="8" w:space="0" w:color="000000"/>
            </w:tcBorders>
            <w:shd w:val="clear" w:color="auto" w:fill="auto"/>
            <w:vAlign w:val="center"/>
            <w:hideMark/>
          </w:tcPr>
          <w:p w14:paraId="6DA5D209"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11.2</w:t>
            </w:r>
          </w:p>
        </w:tc>
      </w:tr>
      <w:tr w:rsidR="00F971CE" w:rsidRPr="00AD5494" w14:paraId="16EDEB84"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3F51A6F4"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60-64 Years</w:t>
            </w:r>
          </w:p>
        </w:tc>
        <w:tc>
          <w:tcPr>
            <w:tcW w:w="1640" w:type="dxa"/>
            <w:tcBorders>
              <w:top w:val="nil"/>
              <w:left w:val="nil"/>
              <w:bottom w:val="single" w:sz="8" w:space="0" w:color="000000"/>
              <w:right w:val="single" w:sz="8" w:space="0" w:color="000000"/>
            </w:tcBorders>
            <w:shd w:val="clear" w:color="auto" w:fill="auto"/>
            <w:vAlign w:val="center"/>
            <w:hideMark/>
          </w:tcPr>
          <w:p w14:paraId="3A7EA5D3"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9.19</w:t>
            </w:r>
          </w:p>
        </w:tc>
        <w:tc>
          <w:tcPr>
            <w:tcW w:w="1340" w:type="dxa"/>
            <w:tcBorders>
              <w:top w:val="nil"/>
              <w:left w:val="nil"/>
              <w:bottom w:val="single" w:sz="8" w:space="0" w:color="000000"/>
              <w:right w:val="single" w:sz="8" w:space="0" w:color="000000"/>
            </w:tcBorders>
            <w:shd w:val="clear" w:color="auto" w:fill="auto"/>
            <w:vAlign w:val="center"/>
            <w:hideMark/>
          </w:tcPr>
          <w:p w14:paraId="27AC588F"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8.95</w:t>
            </w:r>
          </w:p>
        </w:tc>
        <w:tc>
          <w:tcPr>
            <w:tcW w:w="1860" w:type="dxa"/>
            <w:tcBorders>
              <w:top w:val="nil"/>
              <w:left w:val="nil"/>
              <w:bottom w:val="single" w:sz="8" w:space="0" w:color="000000"/>
              <w:right w:val="single" w:sz="8" w:space="0" w:color="000000"/>
            </w:tcBorders>
            <w:shd w:val="clear" w:color="auto" w:fill="auto"/>
            <w:vAlign w:val="center"/>
            <w:hideMark/>
          </w:tcPr>
          <w:p w14:paraId="19CE35AD"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7.42</w:t>
            </w:r>
          </w:p>
        </w:tc>
      </w:tr>
      <w:tr w:rsidR="00F971CE" w:rsidRPr="00AD5494" w14:paraId="78CC0E31" w14:textId="77777777" w:rsidTr="00F971CE">
        <w:trPr>
          <w:trHeight w:val="26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4070ED3C"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Over 65 Years</w:t>
            </w:r>
          </w:p>
        </w:tc>
        <w:tc>
          <w:tcPr>
            <w:tcW w:w="1640" w:type="dxa"/>
            <w:tcBorders>
              <w:top w:val="nil"/>
              <w:left w:val="nil"/>
              <w:bottom w:val="single" w:sz="8" w:space="0" w:color="000000"/>
              <w:right w:val="single" w:sz="8" w:space="0" w:color="000000"/>
            </w:tcBorders>
            <w:shd w:val="clear" w:color="auto" w:fill="auto"/>
            <w:vAlign w:val="center"/>
            <w:hideMark/>
          </w:tcPr>
          <w:p w14:paraId="4749FF2C"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5.85</w:t>
            </w:r>
          </w:p>
        </w:tc>
        <w:tc>
          <w:tcPr>
            <w:tcW w:w="1340" w:type="dxa"/>
            <w:tcBorders>
              <w:top w:val="nil"/>
              <w:left w:val="nil"/>
              <w:bottom w:val="single" w:sz="8" w:space="0" w:color="000000"/>
              <w:right w:val="single" w:sz="8" w:space="0" w:color="000000"/>
            </w:tcBorders>
            <w:shd w:val="clear" w:color="auto" w:fill="auto"/>
            <w:vAlign w:val="center"/>
            <w:hideMark/>
          </w:tcPr>
          <w:p w14:paraId="7CCF15CB"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8.31</w:t>
            </w:r>
          </w:p>
        </w:tc>
        <w:tc>
          <w:tcPr>
            <w:tcW w:w="1860" w:type="dxa"/>
            <w:tcBorders>
              <w:top w:val="nil"/>
              <w:left w:val="nil"/>
              <w:bottom w:val="single" w:sz="8" w:space="0" w:color="000000"/>
              <w:right w:val="single" w:sz="8" w:space="0" w:color="000000"/>
            </w:tcBorders>
            <w:shd w:val="clear" w:color="auto" w:fill="auto"/>
            <w:vAlign w:val="center"/>
            <w:hideMark/>
          </w:tcPr>
          <w:p w14:paraId="2F8412A5" w14:textId="77777777" w:rsidR="00F971CE" w:rsidRPr="00AD5494" w:rsidRDefault="00F971CE" w:rsidP="00F971CE">
            <w:pPr>
              <w:spacing w:after="0" w:line="240" w:lineRule="auto"/>
              <w:rPr>
                <w:rFonts w:ascii="Arial" w:eastAsia="Times New Roman" w:hAnsi="Arial" w:cs="Arial"/>
                <w:color w:val="1B1C1D"/>
                <w:sz w:val="20"/>
                <w:szCs w:val="20"/>
                <w:lang/>
              </w:rPr>
            </w:pPr>
            <w:r w:rsidRPr="00AD5494">
              <w:rPr>
                <w:rFonts w:ascii="Arial" w:eastAsia="Times New Roman" w:hAnsi="Arial" w:cs="Arial"/>
                <w:color w:val="1B1C1D"/>
                <w:sz w:val="20"/>
                <w:szCs w:val="20"/>
                <w:lang/>
              </w:rPr>
              <w:t>6.12</w:t>
            </w:r>
          </w:p>
        </w:tc>
      </w:tr>
      <w:tr w:rsidR="00F971CE" w:rsidRPr="00AD5494" w14:paraId="51A4AB07" w14:textId="77777777" w:rsidTr="00F971CE">
        <w:trPr>
          <w:trHeight w:val="270"/>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47496E3A" w14:textId="77777777" w:rsidR="00F971CE" w:rsidRPr="00AD5494" w:rsidRDefault="00F971CE" w:rsidP="00F971CE">
            <w:pPr>
              <w:spacing w:after="0" w:line="240" w:lineRule="auto"/>
              <w:rPr>
                <w:rFonts w:ascii="Arial" w:eastAsia="Times New Roman" w:hAnsi="Arial" w:cs="Arial"/>
                <w:b/>
                <w:bCs/>
                <w:color w:val="1B1C1D"/>
                <w:sz w:val="20"/>
                <w:szCs w:val="20"/>
                <w:lang/>
              </w:rPr>
            </w:pPr>
            <w:r w:rsidRPr="00AD5494">
              <w:rPr>
                <w:rFonts w:ascii="Arial" w:eastAsia="Times New Roman" w:hAnsi="Arial" w:cs="Arial"/>
                <w:b/>
                <w:bCs/>
                <w:color w:val="1B1C1D"/>
                <w:sz w:val="20"/>
                <w:szCs w:val="20"/>
                <w:lang/>
              </w:rPr>
              <w:t>Total</w:t>
            </w:r>
          </w:p>
        </w:tc>
        <w:tc>
          <w:tcPr>
            <w:tcW w:w="1640" w:type="dxa"/>
            <w:tcBorders>
              <w:top w:val="nil"/>
              <w:left w:val="nil"/>
              <w:bottom w:val="single" w:sz="8" w:space="0" w:color="000000"/>
              <w:right w:val="single" w:sz="8" w:space="0" w:color="000000"/>
            </w:tcBorders>
            <w:shd w:val="clear" w:color="auto" w:fill="auto"/>
            <w:vAlign w:val="center"/>
            <w:hideMark/>
          </w:tcPr>
          <w:p w14:paraId="67168DCC" w14:textId="77777777" w:rsidR="00F971CE" w:rsidRPr="00AD5494" w:rsidRDefault="00F971CE" w:rsidP="00F971CE">
            <w:pPr>
              <w:spacing w:after="0" w:line="240" w:lineRule="auto"/>
              <w:rPr>
                <w:rFonts w:ascii="Arial" w:eastAsia="Times New Roman" w:hAnsi="Arial" w:cs="Arial"/>
                <w:b/>
                <w:bCs/>
                <w:color w:val="1B1C1D"/>
                <w:sz w:val="20"/>
                <w:szCs w:val="20"/>
                <w:lang/>
              </w:rPr>
            </w:pPr>
            <w:r w:rsidRPr="00AD5494">
              <w:rPr>
                <w:rFonts w:ascii="Arial" w:eastAsia="Times New Roman" w:hAnsi="Arial" w:cs="Arial"/>
                <w:b/>
                <w:bCs/>
                <w:color w:val="1B1C1D"/>
                <w:sz w:val="20"/>
                <w:szCs w:val="20"/>
                <w:lang/>
              </w:rPr>
              <w:t>100</w:t>
            </w:r>
          </w:p>
        </w:tc>
        <w:tc>
          <w:tcPr>
            <w:tcW w:w="1340" w:type="dxa"/>
            <w:tcBorders>
              <w:top w:val="nil"/>
              <w:left w:val="nil"/>
              <w:bottom w:val="single" w:sz="8" w:space="0" w:color="000000"/>
              <w:right w:val="single" w:sz="8" w:space="0" w:color="000000"/>
            </w:tcBorders>
            <w:shd w:val="clear" w:color="auto" w:fill="auto"/>
            <w:vAlign w:val="center"/>
            <w:hideMark/>
          </w:tcPr>
          <w:p w14:paraId="674AA612" w14:textId="77777777" w:rsidR="00F971CE" w:rsidRPr="00AD5494" w:rsidRDefault="00F971CE" w:rsidP="00F971CE">
            <w:pPr>
              <w:spacing w:after="0" w:line="240" w:lineRule="auto"/>
              <w:rPr>
                <w:rFonts w:ascii="Arial" w:eastAsia="Times New Roman" w:hAnsi="Arial" w:cs="Arial"/>
                <w:b/>
                <w:bCs/>
                <w:color w:val="1B1C1D"/>
                <w:sz w:val="20"/>
                <w:szCs w:val="20"/>
                <w:lang/>
              </w:rPr>
            </w:pPr>
            <w:r w:rsidRPr="00AD5494">
              <w:rPr>
                <w:rFonts w:ascii="Arial" w:eastAsia="Times New Roman" w:hAnsi="Arial" w:cs="Arial"/>
                <w:b/>
                <w:bCs/>
                <w:color w:val="1B1C1D"/>
                <w:sz w:val="20"/>
                <w:szCs w:val="20"/>
                <w:lang/>
              </w:rPr>
              <w:t>100</w:t>
            </w:r>
          </w:p>
        </w:tc>
        <w:tc>
          <w:tcPr>
            <w:tcW w:w="1860" w:type="dxa"/>
            <w:tcBorders>
              <w:top w:val="nil"/>
              <w:left w:val="nil"/>
              <w:bottom w:val="single" w:sz="8" w:space="0" w:color="000000"/>
              <w:right w:val="single" w:sz="8" w:space="0" w:color="000000"/>
            </w:tcBorders>
            <w:shd w:val="clear" w:color="auto" w:fill="auto"/>
            <w:vAlign w:val="center"/>
            <w:hideMark/>
          </w:tcPr>
          <w:p w14:paraId="35D1EE03" w14:textId="77777777" w:rsidR="00F971CE" w:rsidRPr="00AD5494" w:rsidRDefault="00F971CE" w:rsidP="00F971CE">
            <w:pPr>
              <w:spacing w:after="0" w:line="240" w:lineRule="auto"/>
              <w:rPr>
                <w:rFonts w:ascii="Arial" w:eastAsia="Times New Roman" w:hAnsi="Arial" w:cs="Arial"/>
                <w:b/>
                <w:bCs/>
                <w:color w:val="1B1C1D"/>
                <w:sz w:val="20"/>
                <w:szCs w:val="20"/>
                <w:lang/>
              </w:rPr>
            </w:pPr>
            <w:r w:rsidRPr="00AD5494">
              <w:rPr>
                <w:rFonts w:ascii="Arial" w:eastAsia="Times New Roman" w:hAnsi="Arial" w:cs="Arial"/>
                <w:b/>
                <w:bCs/>
                <w:color w:val="1B1C1D"/>
                <w:sz w:val="20"/>
                <w:szCs w:val="20"/>
                <w:lang/>
              </w:rPr>
              <w:t>100</w:t>
            </w:r>
          </w:p>
        </w:tc>
      </w:tr>
    </w:tbl>
    <w:p w14:paraId="3FEF5C9F" w14:textId="5AF2CF5C" w:rsidR="00F971CE" w:rsidRDefault="00B91474" w:rsidP="00F971CE">
      <w:pPr>
        <w:spacing w:line="240" w:lineRule="auto"/>
        <w:rPr>
          <w:rFonts w:ascii="Times New Roman" w:hAnsi="Times New Roman" w:cs="Times New Roman"/>
          <w:sz w:val="24"/>
          <w:szCs w:val="24"/>
          <w:lang/>
        </w:rPr>
      </w:pPr>
      <w:r w:rsidRPr="00955DF7">
        <w:rPr>
          <w:rFonts w:ascii="Times New Roman" w:hAnsi="Times New Roman" w:cs="Times New Roman"/>
          <w:sz w:val="24"/>
          <w:szCs w:val="24"/>
          <w:lang/>
        </w:rPr>
        <w:t>within Saint Lucia</w:t>
      </w:r>
      <w:r w:rsidR="00641B32" w:rsidRPr="00955DF7">
        <w:rPr>
          <w:rFonts w:ascii="Times New Roman" w:hAnsi="Times New Roman" w:cs="Times New Roman"/>
          <w:sz w:val="24"/>
          <w:szCs w:val="24"/>
          <w:lang/>
        </w:rPr>
        <w:t>’s labo</w:t>
      </w:r>
      <w:r w:rsidRPr="00955DF7">
        <w:rPr>
          <w:rFonts w:ascii="Times New Roman" w:hAnsi="Times New Roman" w:cs="Times New Roman"/>
          <w:sz w:val="24"/>
          <w:szCs w:val="24"/>
          <w:lang/>
        </w:rPr>
        <w:t xml:space="preserve">ur force over the </w:t>
      </w:r>
      <w:r w:rsidR="00641B32" w:rsidRPr="00955DF7">
        <w:rPr>
          <w:rFonts w:ascii="Times New Roman" w:hAnsi="Times New Roman" w:cs="Times New Roman"/>
          <w:sz w:val="24"/>
          <w:szCs w:val="24"/>
          <w:lang/>
        </w:rPr>
        <w:t xml:space="preserve">period under </w:t>
      </w:r>
      <w:r w:rsidR="00F971CE">
        <w:rPr>
          <w:rFonts w:ascii="Times New Roman" w:hAnsi="Times New Roman" w:cs="Times New Roman"/>
          <w:sz w:val="24"/>
          <w:szCs w:val="24"/>
          <w:lang/>
        </w:rPr>
        <w:t>review.</w:t>
      </w:r>
    </w:p>
    <w:p w14:paraId="7498D64A" w14:textId="77777777" w:rsidR="00F971CE" w:rsidRDefault="00F971CE" w:rsidP="00F971CE">
      <w:pPr>
        <w:spacing w:line="240" w:lineRule="auto"/>
        <w:rPr>
          <w:rFonts w:ascii="Times New Roman" w:hAnsi="Times New Roman" w:cs="Times New Roman"/>
          <w:sz w:val="24"/>
          <w:szCs w:val="24"/>
          <w:lang/>
        </w:rPr>
      </w:pPr>
    </w:p>
    <w:p w14:paraId="1216004B" w14:textId="77777777" w:rsidR="00F971CE" w:rsidRDefault="00F971CE" w:rsidP="00F971CE">
      <w:pPr>
        <w:spacing w:line="240" w:lineRule="auto"/>
        <w:rPr>
          <w:rFonts w:ascii="Times New Roman" w:hAnsi="Times New Roman" w:cs="Times New Roman"/>
          <w:sz w:val="24"/>
          <w:szCs w:val="24"/>
          <w:lang/>
        </w:rPr>
      </w:pPr>
    </w:p>
    <w:p w14:paraId="74643C7C" w14:textId="77777777" w:rsidR="00F971CE" w:rsidRDefault="00F971CE" w:rsidP="00F971CE">
      <w:pPr>
        <w:spacing w:line="240" w:lineRule="auto"/>
        <w:rPr>
          <w:rFonts w:ascii="Times New Roman" w:hAnsi="Times New Roman" w:cs="Times New Roman"/>
          <w:sz w:val="24"/>
          <w:szCs w:val="24"/>
          <w:lang/>
        </w:rPr>
      </w:pPr>
    </w:p>
    <w:p w14:paraId="4B36F6CF" w14:textId="77777777" w:rsidR="00F971CE" w:rsidRDefault="00F971CE" w:rsidP="00F971CE">
      <w:pPr>
        <w:spacing w:line="240" w:lineRule="auto"/>
        <w:rPr>
          <w:rFonts w:ascii="Times New Roman" w:hAnsi="Times New Roman" w:cs="Times New Roman"/>
          <w:sz w:val="24"/>
          <w:szCs w:val="24"/>
          <w:lang/>
        </w:rPr>
      </w:pPr>
    </w:p>
    <w:p w14:paraId="29A3D162" w14:textId="77777777" w:rsidR="00F971CE" w:rsidRDefault="00F971CE" w:rsidP="00F971CE">
      <w:pPr>
        <w:spacing w:line="240" w:lineRule="auto"/>
        <w:rPr>
          <w:rFonts w:ascii="Times New Roman" w:hAnsi="Times New Roman" w:cs="Times New Roman"/>
          <w:sz w:val="24"/>
          <w:szCs w:val="24"/>
          <w:lang/>
        </w:rPr>
      </w:pPr>
    </w:p>
    <w:p w14:paraId="19F0DACA" w14:textId="77777777" w:rsidR="00F971CE" w:rsidRDefault="00F971CE" w:rsidP="00F971CE">
      <w:pPr>
        <w:spacing w:line="240" w:lineRule="auto"/>
        <w:rPr>
          <w:rFonts w:ascii="Times New Roman" w:hAnsi="Times New Roman" w:cs="Times New Roman"/>
          <w:sz w:val="24"/>
          <w:szCs w:val="24"/>
          <w:lang/>
        </w:rPr>
      </w:pPr>
    </w:p>
    <w:p w14:paraId="079DBB09" w14:textId="77777777" w:rsidR="00F971CE" w:rsidRDefault="00F971CE" w:rsidP="00F971CE">
      <w:pPr>
        <w:spacing w:line="240" w:lineRule="auto"/>
        <w:rPr>
          <w:rFonts w:ascii="Times New Roman" w:hAnsi="Times New Roman" w:cs="Times New Roman"/>
          <w:b/>
          <w:bCs/>
          <w:sz w:val="20"/>
          <w:szCs w:val="20"/>
        </w:rPr>
      </w:pPr>
    </w:p>
    <w:p w14:paraId="75AE112C" w14:textId="77777777" w:rsidR="00F971CE" w:rsidRDefault="00F971CE" w:rsidP="00F971CE">
      <w:pPr>
        <w:spacing w:line="240" w:lineRule="auto"/>
        <w:rPr>
          <w:rFonts w:ascii="Times New Roman" w:hAnsi="Times New Roman" w:cs="Times New Roman"/>
          <w:b/>
          <w:bCs/>
          <w:sz w:val="20"/>
          <w:szCs w:val="20"/>
        </w:rPr>
      </w:pPr>
    </w:p>
    <w:p w14:paraId="0816AFDB" w14:textId="491CEC9D" w:rsidR="00F971CE" w:rsidRPr="00BB0380" w:rsidRDefault="00F971CE" w:rsidP="00F971CE">
      <w:pPr>
        <w:spacing w:line="240" w:lineRule="auto"/>
        <w:rPr>
          <w:rFonts w:ascii="Times New Roman" w:hAnsi="Times New Roman" w:cs="Times New Roman"/>
          <w:b/>
          <w:bCs/>
          <w:i/>
          <w:iCs/>
          <w:sz w:val="18"/>
          <w:szCs w:val="18"/>
        </w:rPr>
      </w:pPr>
      <w:r>
        <w:rPr>
          <w:rFonts w:ascii="Times New Roman" w:hAnsi="Times New Roman" w:cs="Times New Roman"/>
          <w:b/>
          <w:bCs/>
          <w:sz w:val="20"/>
          <w:szCs w:val="20"/>
        </w:rPr>
        <w:t xml:space="preserve">                                                                                                                             </w:t>
      </w:r>
      <w:r w:rsidRPr="00BB0380">
        <w:rPr>
          <w:rFonts w:ascii="Times New Roman" w:hAnsi="Times New Roman" w:cs="Times New Roman"/>
          <w:b/>
          <w:bCs/>
          <w:i/>
          <w:iCs/>
          <w:sz w:val="18"/>
          <w:szCs w:val="18"/>
        </w:rPr>
        <w:t>Table 3: Employed by age Group Over Quarters</w:t>
      </w:r>
    </w:p>
    <w:p w14:paraId="4AE9C7DC" w14:textId="77777777" w:rsidR="00CE7F58" w:rsidRDefault="00CE7F58" w:rsidP="00F971CE">
      <w:pPr>
        <w:spacing w:line="240" w:lineRule="auto"/>
        <w:rPr>
          <w:rFonts w:ascii="Times New Roman" w:hAnsi="Times New Roman" w:cs="Times New Roman"/>
          <w:b/>
          <w:bCs/>
          <w:sz w:val="18"/>
          <w:szCs w:val="18"/>
        </w:rPr>
      </w:pPr>
    </w:p>
    <w:p w14:paraId="1C80F7BA" w14:textId="732F72C4" w:rsidR="00CE7F58" w:rsidRDefault="00CE7F58" w:rsidP="00F971CE">
      <w:pPr>
        <w:spacing w:line="240" w:lineRule="auto"/>
        <w:rPr>
          <w:rFonts w:ascii="Times New Roman" w:hAnsi="Times New Roman" w:cs="Times New Roman"/>
          <w:b/>
          <w:bCs/>
          <w:sz w:val="20"/>
          <w:szCs w:val="20"/>
        </w:rPr>
      </w:pPr>
      <w:r w:rsidRPr="00A743A9">
        <w:rPr>
          <w:rFonts w:ascii="Times New Roman" w:hAnsi="Times New Roman" w:cs="Times New Roman"/>
          <w:sz w:val="24"/>
          <w:szCs w:val="24"/>
        </w:rPr>
        <w:t xml:space="preserve">Table </w:t>
      </w:r>
      <w:r w:rsidR="00BB12BF" w:rsidRPr="00A743A9">
        <w:rPr>
          <w:rFonts w:ascii="Times New Roman" w:hAnsi="Times New Roman" w:cs="Times New Roman"/>
          <w:sz w:val="24"/>
          <w:szCs w:val="24"/>
        </w:rPr>
        <w:t>4</w:t>
      </w:r>
      <w:r w:rsidRPr="00A743A9">
        <w:rPr>
          <w:rFonts w:ascii="Times New Roman" w:hAnsi="Times New Roman" w:cs="Times New Roman"/>
          <w:sz w:val="24"/>
          <w:szCs w:val="24"/>
        </w:rPr>
        <w:t>: Employed Labour</w:t>
      </w:r>
      <w:r w:rsidRPr="00955DF7">
        <w:rPr>
          <w:rFonts w:ascii="Times New Roman" w:hAnsi="Times New Roman" w:cs="Times New Roman"/>
          <w:sz w:val="24"/>
          <w:szCs w:val="24"/>
        </w:rPr>
        <w:t xml:space="preserve"> Force by Occupation Group details the shifts occurring between various job categories over the observed quarters in Saint Lucia. The total employed labour force stood at 97,033 in Q1 2025, a slight decrease from 99,453 in Q4 2024 but an </w:t>
      </w:r>
    </w:p>
    <w:p w14:paraId="169F52A6" w14:textId="371F33B5" w:rsidR="00F971CE" w:rsidRDefault="001E4E0B" w:rsidP="00955DF7">
      <w:pPr>
        <w:spacing w:line="360" w:lineRule="auto"/>
        <w:jc w:val="both"/>
        <w:rPr>
          <w:rFonts w:ascii="Times New Roman" w:hAnsi="Times New Roman" w:cs="Times New Roman"/>
          <w:sz w:val="24"/>
          <w:szCs w:val="24"/>
        </w:rPr>
      </w:pPr>
      <w:r w:rsidRPr="00955DF7">
        <w:rPr>
          <w:rFonts w:ascii="Times New Roman" w:hAnsi="Times New Roman" w:cs="Times New Roman"/>
          <w:sz w:val="24"/>
          <w:szCs w:val="24"/>
        </w:rPr>
        <w:t>increase from 96,434 in Q1 2024.</w:t>
      </w:r>
      <w:r w:rsidR="00CE7F58">
        <w:rPr>
          <w:rFonts w:ascii="Times New Roman" w:hAnsi="Times New Roman" w:cs="Times New Roman"/>
          <w:sz w:val="24"/>
          <w:szCs w:val="24"/>
        </w:rPr>
        <w:t xml:space="preserve"> </w:t>
      </w:r>
      <w:r w:rsidR="00CE7F58" w:rsidRPr="00CE7F58">
        <w:rPr>
          <w:rFonts w:ascii="Times New Roman" w:hAnsi="Times New Roman" w:cs="Times New Roman"/>
          <w:sz w:val="24"/>
          <w:szCs w:val="24"/>
        </w:rPr>
        <w:t xml:space="preserve">In the 1st Quarter of 2025, Service and sales workers continued to be the largest occupational group, accounting for 30% of the employed population, an increase from the previous quarter, while their percentage slightly decreased from 30.28% in Q1 2024 to 29.93% in Q1 2025.  Elementary occupations (such as cleaners, street vendors) also maintained a substantial portion of employment, fluctuating from 14.54% Q1 2024 to 14.19% in Q1 2025. </w:t>
      </w:r>
      <w:r w:rsidR="00CE7F58" w:rsidRPr="00955DF7">
        <w:rPr>
          <w:rFonts w:ascii="Times New Roman" w:hAnsi="Times New Roman" w:cs="Times New Roman"/>
          <w:sz w:val="24"/>
          <w:szCs w:val="24"/>
        </w:rPr>
        <w:t xml:space="preserve">Craft and related trades workers saw an increase from </w:t>
      </w:r>
      <w:r w:rsidR="00CE7F58" w:rsidRPr="00955DF7">
        <w:rPr>
          <w:rFonts w:ascii="Times New Roman" w:hAnsi="Times New Roman" w:cs="Times New Roman"/>
          <w:sz w:val="24"/>
          <w:szCs w:val="24"/>
        </w:rPr>
        <w:lastRenderedPageBreak/>
        <w:t>10,487 in Q4 2024 to 11,250 in Q1 2025.</w:t>
      </w:r>
      <w:r w:rsidR="00CE7F58">
        <w:rPr>
          <w:rFonts w:ascii="Times New Roman" w:hAnsi="Times New Roman" w:cs="Times New Roman"/>
          <w:sz w:val="24"/>
          <w:szCs w:val="24"/>
        </w:rPr>
        <w:t xml:space="preserve"> </w:t>
      </w:r>
      <w:r w:rsidR="00CE7F58" w:rsidRPr="00955DF7">
        <w:rPr>
          <w:rFonts w:ascii="Times New Roman" w:hAnsi="Times New Roman" w:cs="Times New Roman"/>
          <w:noProof/>
          <w:sz w:val="24"/>
          <w:szCs w:val="24"/>
        </w:rPr>
        <w:drawing>
          <wp:anchor distT="0" distB="0" distL="114300" distR="114300" simplePos="0" relativeHeight="251672576" behindDoc="0" locked="0" layoutInCell="1" allowOverlap="1" wp14:anchorId="5F5258EC" wp14:editId="1E6706FC">
            <wp:simplePos x="0" y="0"/>
            <wp:positionH relativeFrom="column">
              <wp:posOffset>95250</wp:posOffset>
            </wp:positionH>
            <wp:positionV relativeFrom="paragraph">
              <wp:posOffset>273685</wp:posOffset>
            </wp:positionV>
            <wp:extent cx="5194300" cy="4229100"/>
            <wp:effectExtent l="0" t="0" r="6350" b="0"/>
            <wp:wrapThrough wrapText="bothSides">
              <wp:wrapPolygon edited="0">
                <wp:start x="0" y="0"/>
                <wp:lineTo x="0" y="21503"/>
                <wp:lineTo x="21547" y="21503"/>
                <wp:lineTo x="21547" y="0"/>
                <wp:lineTo x="0" y="0"/>
              </wp:wrapPolygon>
            </wp:wrapThrough>
            <wp:docPr id="104165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55788" name=""/>
                    <pic:cNvPicPr/>
                  </pic:nvPicPr>
                  <pic:blipFill>
                    <a:blip r:embed="rId11">
                      <a:extLst>
                        <a:ext uri="{28A0092B-C50C-407E-A947-70E740481C1C}">
                          <a14:useLocalDpi xmlns:a14="http://schemas.microsoft.com/office/drawing/2010/main" val="0"/>
                        </a:ext>
                      </a:extLst>
                    </a:blip>
                    <a:stretch>
                      <a:fillRect/>
                    </a:stretch>
                  </pic:blipFill>
                  <pic:spPr>
                    <a:xfrm>
                      <a:off x="0" y="0"/>
                      <a:ext cx="5194300" cy="4229100"/>
                    </a:xfrm>
                    <a:prstGeom prst="rect">
                      <a:avLst/>
                    </a:prstGeom>
                  </pic:spPr>
                </pic:pic>
              </a:graphicData>
            </a:graphic>
            <wp14:sizeRelH relativeFrom="margin">
              <wp14:pctWidth>0</wp14:pctWidth>
            </wp14:sizeRelH>
          </wp:anchor>
        </w:drawing>
      </w:r>
      <w:r w:rsidRPr="00955DF7">
        <w:rPr>
          <w:rFonts w:ascii="Times New Roman" w:hAnsi="Times New Roman" w:cs="Times New Roman"/>
          <w:sz w:val="24"/>
          <w:szCs w:val="24"/>
        </w:rPr>
        <w:t>Some notable shifts are apparent when comparing quarters. For instance, Managers saw a decrease in employment from 5.8% in Q4 2024 to 5.14% in Q1 2025.  Skilled agricultural, forestry and fishery workers also decreased from 8,816 in Q4 2024 to 6,680 in Q1 2025. On the other hand, Technicians and associate professionals saw a significant proportional increase, rising from 5.59% to 10.73% over the year. Additionally, the same category saw an increase from 9.7% in Q4 2024 to 10.7% in Q1 2025, suggesting a potential shift toward more technical employment.  Occupations like Clerical support workers and Plant and machine operators, and assemblers experienced noticeable decreases in their share of the total workforce, indicating a potential restructuring within these sectors.</w:t>
      </w:r>
      <w:r w:rsidR="00E50D87" w:rsidRPr="00955DF7">
        <w:rPr>
          <w:rFonts w:ascii="Times New Roman" w:hAnsi="Times New Roman" w:cs="Times New Roman"/>
          <w:sz w:val="24"/>
          <w:szCs w:val="24"/>
        </w:rPr>
        <w:t xml:space="preserve"> </w:t>
      </w:r>
      <w:r w:rsidR="00D652CC" w:rsidRPr="00955DF7">
        <w:rPr>
          <w:rFonts w:ascii="Times New Roman" w:hAnsi="Times New Roman" w:cs="Times New Roman"/>
          <w:sz w:val="24"/>
          <w:szCs w:val="24"/>
        </w:rPr>
        <w:t xml:space="preserve">    </w:t>
      </w:r>
    </w:p>
    <w:p w14:paraId="42AE70F2" w14:textId="77777777" w:rsidR="00CE7F58" w:rsidRDefault="00CE7F58" w:rsidP="00F971CE">
      <w:pPr>
        <w:spacing w:line="240" w:lineRule="auto"/>
        <w:jc w:val="both"/>
        <w:rPr>
          <w:rFonts w:ascii="Times New Roman" w:hAnsi="Times New Roman" w:cs="Times New Roman"/>
          <w:b/>
          <w:bCs/>
          <w:sz w:val="18"/>
          <w:szCs w:val="18"/>
        </w:rPr>
      </w:pPr>
    </w:p>
    <w:p w14:paraId="79C738DA" w14:textId="77777777" w:rsidR="00CE7F58" w:rsidRPr="00BB0380" w:rsidRDefault="00CE7F58" w:rsidP="00BB12BF">
      <w:pPr>
        <w:spacing w:line="240" w:lineRule="auto"/>
        <w:jc w:val="both"/>
        <w:rPr>
          <w:rFonts w:ascii="Times New Roman" w:hAnsi="Times New Roman" w:cs="Times New Roman"/>
          <w:b/>
          <w:bCs/>
          <w:i/>
          <w:iCs/>
          <w:sz w:val="18"/>
          <w:szCs w:val="18"/>
        </w:rPr>
      </w:pPr>
    </w:p>
    <w:p w14:paraId="3A290533" w14:textId="234CEF64" w:rsidR="00CE7F58" w:rsidRPr="00BB0380" w:rsidRDefault="00BB12BF" w:rsidP="00BB12BF">
      <w:pPr>
        <w:spacing w:line="240" w:lineRule="auto"/>
        <w:jc w:val="both"/>
        <w:rPr>
          <w:rFonts w:ascii="Times New Roman" w:hAnsi="Times New Roman" w:cs="Times New Roman"/>
          <w:b/>
          <w:bCs/>
          <w:i/>
          <w:iCs/>
          <w:sz w:val="18"/>
          <w:szCs w:val="18"/>
        </w:rPr>
      </w:pPr>
      <w:r w:rsidRPr="00BB0380">
        <w:rPr>
          <w:rFonts w:ascii="Times New Roman" w:hAnsi="Times New Roman" w:cs="Times New Roman"/>
          <w:b/>
          <w:bCs/>
          <w:i/>
          <w:iCs/>
          <w:sz w:val="18"/>
          <w:szCs w:val="18"/>
        </w:rPr>
        <w:t>Figure 2: Percentage Distribution of Occupation across Quarters</w:t>
      </w:r>
    </w:p>
    <w:p w14:paraId="2BCA47F1" w14:textId="77777777" w:rsidR="00CE7F58" w:rsidRDefault="00CE7F58" w:rsidP="00F971CE">
      <w:pPr>
        <w:spacing w:line="240" w:lineRule="auto"/>
        <w:jc w:val="both"/>
        <w:rPr>
          <w:rFonts w:ascii="Times New Roman" w:hAnsi="Times New Roman" w:cs="Times New Roman"/>
          <w:b/>
          <w:bCs/>
          <w:sz w:val="18"/>
          <w:szCs w:val="18"/>
        </w:rPr>
      </w:pPr>
    </w:p>
    <w:p w14:paraId="6DCCF60A" w14:textId="77777777" w:rsidR="00CE7F58" w:rsidRDefault="00CE7F58" w:rsidP="00F971CE">
      <w:pPr>
        <w:spacing w:line="240" w:lineRule="auto"/>
        <w:jc w:val="both"/>
        <w:rPr>
          <w:rFonts w:ascii="Times New Roman" w:hAnsi="Times New Roman" w:cs="Times New Roman"/>
          <w:b/>
          <w:bCs/>
          <w:sz w:val="18"/>
          <w:szCs w:val="18"/>
        </w:rPr>
      </w:pPr>
    </w:p>
    <w:p w14:paraId="23699F72" w14:textId="77777777" w:rsidR="00CE7F58" w:rsidRDefault="00CE7F58" w:rsidP="00F971CE">
      <w:pPr>
        <w:spacing w:line="240" w:lineRule="auto"/>
        <w:jc w:val="both"/>
        <w:rPr>
          <w:rFonts w:ascii="Times New Roman" w:hAnsi="Times New Roman" w:cs="Times New Roman"/>
          <w:b/>
          <w:bCs/>
          <w:sz w:val="18"/>
          <w:szCs w:val="18"/>
        </w:rPr>
      </w:pPr>
    </w:p>
    <w:p w14:paraId="4802310C" w14:textId="6B07C050" w:rsidR="001E4E0B" w:rsidRPr="00BB0380" w:rsidRDefault="00F971CE" w:rsidP="00F971CE">
      <w:pPr>
        <w:spacing w:line="240" w:lineRule="auto"/>
        <w:jc w:val="both"/>
        <w:rPr>
          <w:rFonts w:ascii="Times New Roman" w:hAnsi="Times New Roman" w:cs="Times New Roman"/>
          <w:b/>
          <w:bCs/>
          <w:i/>
          <w:iCs/>
          <w:sz w:val="18"/>
          <w:szCs w:val="18"/>
        </w:rPr>
      </w:pPr>
      <w:r w:rsidRPr="00BB0380">
        <w:rPr>
          <w:rFonts w:ascii="Times New Roman" w:hAnsi="Times New Roman" w:cs="Times New Roman"/>
          <w:b/>
          <w:bCs/>
          <w:i/>
          <w:iCs/>
          <w:sz w:val="18"/>
          <w:szCs w:val="18"/>
        </w:rPr>
        <w:lastRenderedPageBreak/>
        <w:t>Table</w:t>
      </w:r>
      <w:r w:rsidR="00D652CC" w:rsidRPr="00BB0380">
        <w:rPr>
          <w:rFonts w:ascii="Times New Roman" w:hAnsi="Times New Roman" w:cs="Times New Roman"/>
          <w:b/>
          <w:bCs/>
          <w:i/>
          <w:iCs/>
          <w:sz w:val="18"/>
          <w:szCs w:val="18"/>
        </w:rPr>
        <w:t xml:space="preserve"> </w:t>
      </w:r>
      <w:r w:rsidRPr="00BB0380">
        <w:rPr>
          <w:rFonts w:ascii="Times New Roman" w:hAnsi="Times New Roman" w:cs="Times New Roman"/>
          <w:b/>
          <w:bCs/>
          <w:i/>
          <w:iCs/>
          <w:sz w:val="18"/>
          <w:szCs w:val="18"/>
        </w:rPr>
        <w:t>4: Occupation Group Over Quarters</w:t>
      </w:r>
    </w:p>
    <w:tbl>
      <w:tblPr>
        <w:tblW w:w="10627" w:type="dxa"/>
        <w:tblLook w:val="04A0" w:firstRow="1" w:lastRow="0" w:firstColumn="1" w:lastColumn="0" w:noHBand="0" w:noVBand="1"/>
      </w:tblPr>
      <w:tblGrid>
        <w:gridCol w:w="4531"/>
        <w:gridCol w:w="2127"/>
        <w:gridCol w:w="2268"/>
        <w:gridCol w:w="1701"/>
      </w:tblGrid>
      <w:tr w:rsidR="00C70AC7" w:rsidRPr="00F971CE" w14:paraId="05EF922E" w14:textId="77777777" w:rsidTr="00C70AC7">
        <w:trPr>
          <w:trHeight w:val="462"/>
        </w:trPr>
        <w:tc>
          <w:tcPr>
            <w:tcW w:w="45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3121E"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OCCUPATION GROUP</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14:paraId="60BAE309" w14:textId="27B7CB31"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 xml:space="preserve">1st </w:t>
            </w:r>
            <w:r w:rsidR="00CC6B9A" w:rsidRPr="00F971CE">
              <w:rPr>
                <w:rFonts w:ascii="Times New Roman" w:eastAsia="Times New Roman" w:hAnsi="Times New Roman" w:cs="Times New Roman"/>
                <w:b/>
                <w:bCs/>
                <w:sz w:val="18"/>
                <w:szCs w:val="18"/>
                <w:lang/>
              </w:rPr>
              <w:t>Qtr.</w:t>
            </w:r>
            <w:r w:rsidRPr="00F971CE">
              <w:rPr>
                <w:rFonts w:ascii="Times New Roman" w:eastAsia="Times New Roman" w:hAnsi="Times New Roman" w:cs="Times New Roman"/>
                <w:b/>
                <w:bCs/>
                <w:sz w:val="18"/>
                <w:szCs w:val="18"/>
                <w:lang/>
              </w:rPr>
              <w:t xml:space="preserve"> 2024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CA4BDD0" w14:textId="41255A56"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 xml:space="preserve">4th </w:t>
            </w:r>
            <w:r w:rsidR="00CC6B9A" w:rsidRPr="00F971CE">
              <w:rPr>
                <w:rFonts w:ascii="Times New Roman" w:eastAsia="Times New Roman" w:hAnsi="Times New Roman" w:cs="Times New Roman"/>
                <w:b/>
                <w:bCs/>
                <w:sz w:val="18"/>
                <w:szCs w:val="18"/>
                <w:lang/>
              </w:rPr>
              <w:t>Qtr.</w:t>
            </w:r>
            <w:r w:rsidRPr="00F971CE">
              <w:rPr>
                <w:rFonts w:ascii="Times New Roman" w:eastAsia="Times New Roman" w:hAnsi="Times New Roman" w:cs="Times New Roman"/>
                <w:b/>
                <w:bCs/>
                <w:sz w:val="18"/>
                <w:szCs w:val="18"/>
                <w:lang/>
              </w:rPr>
              <w:t xml:space="preserve"> 2024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5712C3D4" w14:textId="414633DB"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 xml:space="preserve">1 </w:t>
            </w:r>
            <w:r w:rsidR="00CC6B9A" w:rsidRPr="00F971CE">
              <w:rPr>
                <w:rFonts w:ascii="Times New Roman" w:eastAsia="Times New Roman" w:hAnsi="Times New Roman" w:cs="Times New Roman"/>
                <w:b/>
                <w:bCs/>
                <w:sz w:val="18"/>
                <w:szCs w:val="18"/>
                <w:lang/>
              </w:rPr>
              <w:t>Qtr.</w:t>
            </w:r>
            <w:r w:rsidRPr="00F971CE">
              <w:rPr>
                <w:rFonts w:ascii="Times New Roman" w:eastAsia="Times New Roman" w:hAnsi="Times New Roman" w:cs="Times New Roman"/>
                <w:b/>
                <w:bCs/>
                <w:sz w:val="18"/>
                <w:szCs w:val="18"/>
                <w:lang/>
              </w:rPr>
              <w:t xml:space="preserve"> 2025 (%)</w:t>
            </w:r>
          </w:p>
        </w:tc>
      </w:tr>
      <w:tr w:rsidR="00C70AC7" w:rsidRPr="00F971CE" w14:paraId="5371AF62" w14:textId="77777777" w:rsidTr="00C70AC7">
        <w:trPr>
          <w:trHeight w:val="251"/>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52C7B358"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Managers</w:t>
            </w:r>
          </w:p>
        </w:tc>
        <w:tc>
          <w:tcPr>
            <w:tcW w:w="2127" w:type="dxa"/>
            <w:tcBorders>
              <w:top w:val="nil"/>
              <w:left w:val="nil"/>
              <w:bottom w:val="single" w:sz="4" w:space="0" w:color="auto"/>
              <w:right w:val="single" w:sz="4" w:space="0" w:color="auto"/>
            </w:tcBorders>
            <w:shd w:val="clear" w:color="auto" w:fill="auto"/>
            <w:vAlign w:val="bottom"/>
            <w:hideMark/>
          </w:tcPr>
          <w:p w14:paraId="52381F7E"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5.8</w:t>
            </w:r>
          </w:p>
        </w:tc>
        <w:tc>
          <w:tcPr>
            <w:tcW w:w="2268" w:type="dxa"/>
            <w:tcBorders>
              <w:top w:val="nil"/>
              <w:left w:val="nil"/>
              <w:bottom w:val="single" w:sz="4" w:space="0" w:color="auto"/>
              <w:right w:val="single" w:sz="4" w:space="0" w:color="auto"/>
            </w:tcBorders>
            <w:shd w:val="clear" w:color="auto" w:fill="auto"/>
            <w:vAlign w:val="bottom"/>
            <w:hideMark/>
          </w:tcPr>
          <w:p w14:paraId="4E1D0D86"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6.56</w:t>
            </w:r>
          </w:p>
        </w:tc>
        <w:tc>
          <w:tcPr>
            <w:tcW w:w="1701" w:type="dxa"/>
            <w:tcBorders>
              <w:top w:val="nil"/>
              <w:left w:val="nil"/>
              <w:bottom w:val="single" w:sz="4" w:space="0" w:color="auto"/>
              <w:right w:val="single" w:sz="4" w:space="0" w:color="auto"/>
            </w:tcBorders>
            <w:shd w:val="clear" w:color="auto" w:fill="auto"/>
            <w:vAlign w:val="bottom"/>
            <w:hideMark/>
          </w:tcPr>
          <w:p w14:paraId="4B9CA4F9"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5.14</w:t>
            </w:r>
          </w:p>
        </w:tc>
      </w:tr>
      <w:tr w:rsidR="00C70AC7" w:rsidRPr="00F971CE" w14:paraId="0192EEFD" w14:textId="77777777" w:rsidTr="00C70AC7">
        <w:trPr>
          <w:trHeight w:val="251"/>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4B623504"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Professionals</w:t>
            </w:r>
          </w:p>
        </w:tc>
        <w:tc>
          <w:tcPr>
            <w:tcW w:w="2127" w:type="dxa"/>
            <w:tcBorders>
              <w:top w:val="nil"/>
              <w:left w:val="nil"/>
              <w:bottom w:val="single" w:sz="4" w:space="0" w:color="auto"/>
              <w:right w:val="single" w:sz="4" w:space="0" w:color="auto"/>
            </w:tcBorders>
            <w:shd w:val="clear" w:color="auto" w:fill="auto"/>
            <w:vAlign w:val="bottom"/>
            <w:hideMark/>
          </w:tcPr>
          <w:p w14:paraId="1198C24F"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9.42</w:t>
            </w:r>
          </w:p>
        </w:tc>
        <w:tc>
          <w:tcPr>
            <w:tcW w:w="2268" w:type="dxa"/>
            <w:tcBorders>
              <w:top w:val="nil"/>
              <w:left w:val="nil"/>
              <w:bottom w:val="single" w:sz="4" w:space="0" w:color="auto"/>
              <w:right w:val="single" w:sz="4" w:space="0" w:color="auto"/>
            </w:tcBorders>
            <w:shd w:val="clear" w:color="auto" w:fill="auto"/>
            <w:vAlign w:val="bottom"/>
            <w:hideMark/>
          </w:tcPr>
          <w:p w14:paraId="2C62FABC"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8.66</w:t>
            </w:r>
          </w:p>
        </w:tc>
        <w:tc>
          <w:tcPr>
            <w:tcW w:w="1701" w:type="dxa"/>
            <w:tcBorders>
              <w:top w:val="nil"/>
              <w:left w:val="nil"/>
              <w:bottom w:val="single" w:sz="4" w:space="0" w:color="auto"/>
              <w:right w:val="single" w:sz="4" w:space="0" w:color="auto"/>
            </w:tcBorders>
            <w:shd w:val="clear" w:color="auto" w:fill="auto"/>
            <w:vAlign w:val="bottom"/>
            <w:hideMark/>
          </w:tcPr>
          <w:p w14:paraId="6C39D450"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9.54</w:t>
            </w:r>
          </w:p>
        </w:tc>
      </w:tr>
      <w:tr w:rsidR="00C70AC7" w:rsidRPr="00F971CE" w14:paraId="431ED651" w14:textId="77777777" w:rsidTr="00C70AC7">
        <w:trPr>
          <w:trHeight w:val="335"/>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7CE6FF01"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Technicians and associate professionals</w:t>
            </w:r>
          </w:p>
        </w:tc>
        <w:tc>
          <w:tcPr>
            <w:tcW w:w="2127" w:type="dxa"/>
            <w:tcBorders>
              <w:top w:val="nil"/>
              <w:left w:val="nil"/>
              <w:bottom w:val="single" w:sz="4" w:space="0" w:color="auto"/>
              <w:right w:val="single" w:sz="4" w:space="0" w:color="auto"/>
            </w:tcBorders>
            <w:shd w:val="clear" w:color="auto" w:fill="auto"/>
            <w:vAlign w:val="bottom"/>
            <w:hideMark/>
          </w:tcPr>
          <w:p w14:paraId="44D1B1D1"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5.59</w:t>
            </w:r>
          </w:p>
        </w:tc>
        <w:tc>
          <w:tcPr>
            <w:tcW w:w="2268" w:type="dxa"/>
            <w:tcBorders>
              <w:top w:val="nil"/>
              <w:left w:val="nil"/>
              <w:bottom w:val="single" w:sz="4" w:space="0" w:color="auto"/>
              <w:right w:val="single" w:sz="4" w:space="0" w:color="auto"/>
            </w:tcBorders>
            <w:shd w:val="clear" w:color="auto" w:fill="auto"/>
            <w:vAlign w:val="bottom"/>
            <w:hideMark/>
          </w:tcPr>
          <w:p w14:paraId="3B9F65E2"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9.7</w:t>
            </w:r>
          </w:p>
        </w:tc>
        <w:tc>
          <w:tcPr>
            <w:tcW w:w="1701" w:type="dxa"/>
            <w:tcBorders>
              <w:top w:val="nil"/>
              <w:left w:val="nil"/>
              <w:bottom w:val="single" w:sz="4" w:space="0" w:color="auto"/>
              <w:right w:val="single" w:sz="4" w:space="0" w:color="auto"/>
            </w:tcBorders>
            <w:shd w:val="clear" w:color="auto" w:fill="auto"/>
            <w:vAlign w:val="bottom"/>
            <w:hideMark/>
          </w:tcPr>
          <w:p w14:paraId="6D146976"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10.73</w:t>
            </w:r>
          </w:p>
        </w:tc>
      </w:tr>
      <w:tr w:rsidR="00C70AC7" w:rsidRPr="00F971CE" w14:paraId="5D7C303B" w14:textId="77777777" w:rsidTr="00C70AC7">
        <w:trPr>
          <w:trHeight w:val="251"/>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1110C469"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Clerical support workers</w:t>
            </w:r>
          </w:p>
        </w:tc>
        <w:tc>
          <w:tcPr>
            <w:tcW w:w="2127" w:type="dxa"/>
            <w:tcBorders>
              <w:top w:val="nil"/>
              <w:left w:val="nil"/>
              <w:bottom w:val="single" w:sz="4" w:space="0" w:color="auto"/>
              <w:right w:val="single" w:sz="4" w:space="0" w:color="auto"/>
            </w:tcBorders>
            <w:shd w:val="clear" w:color="auto" w:fill="auto"/>
            <w:vAlign w:val="bottom"/>
            <w:hideMark/>
          </w:tcPr>
          <w:p w14:paraId="4B4BA199"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9.11</w:t>
            </w:r>
          </w:p>
        </w:tc>
        <w:tc>
          <w:tcPr>
            <w:tcW w:w="2268" w:type="dxa"/>
            <w:tcBorders>
              <w:top w:val="nil"/>
              <w:left w:val="nil"/>
              <w:bottom w:val="single" w:sz="4" w:space="0" w:color="auto"/>
              <w:right w:val="single" w:sz="4" w:space="0" w:color="auto"/>
            </w:tcBorders>
            <w:shd w:val="clear" w:color="auto" w:fill="auto"/>
            <w:vAlign w:val="bottom"/>
            <w:hideMark/>
          </w:tcPr>
          <w:p w14:paraId="2F833FED"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9.08</w:t>
            </w:r>
          </w:p>
        </w:tc>
        <w:tc>
          <w:tcPr>
            <w:tcW w:w="1701" w:type="dxa"/>
            <w:tcBorders>
              <w:top w:val="nil"/>
              <w:left w:val="nil"/>
              <w:bottom w:val="single" w:sz="4" w:space="0" w:color="auto"/>
              <w:right w:val="single" w:sz="4" w:space="0" w:color="auto"/>
            </w:tcBorders>
            <w:shd w:val="clear" w:color="auto" w:fill="auto"/>
            <w:vAlign w:val="bottom"/>
            <w:hideMark/>
          </w:tcPr>
          <w:p w14:paraId="59383CAA"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5.92</w:t>
            </w:r>
          </w:p>
        </w:tc>
      </w:tr>
      <w:tr w:rsidR="00C70AC7" w:rsidRPr="00F971CE" w14:paraId="2E4CC61A" w14:textId="77777777" w:rsidTr="00C70AC7">
        <w:trPr>
          <w:trHeight w:val="251"/>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0053258C"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Service and sales workers</w:t>
            </w:r>
          </w:p>
        </w:tc>
        <w:tc>
          <w:tcPr>
            <w:tcW w:w="2127" w:type="dxa"/>
            <w:tcBorders>
              <w:top w:val="nil"/>
              <w:left w:val="nil"/>
              <w:bottom w:val="single" w:sz="4" w:space="0" w:color="auto"/>
              <w:right w:val="single" w:sz="4" w:space="0" w:color="auto"/>
            </w:tcBorders>
            <w:shd w:val="clear" w:color="auto" w:fill="auto"/>
            <w:vAlign w:val="bottom"/>
            <w:hideMark/>
          </w:tcPr>
          <w:p w14:paraId="10D424BC"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30.28</w:t>
            </w:r>
          </w:p>
        </w:tc>
        <w:tc>
          <w:tcPr>
            <w:tcW w:w="2268" w:type="dxa"/>
            <w:tcBorders>
              <w:top w:val="nil"/>
              <w:left w:val="nil"/>
              <w:bottom w:val="single" w:sz="4" w:space="0" w:color="auto"/>
              <w:right w:val="single" w:sz="4" w:space="0" w:color="auto"/>
            </w:tcBorders>
            <w:shd w:val="clear" w:color="auto" w:fill="auto"/>
            <w:vAlign w:val="bottom"/>
            <w:hideMark/>
          </w:tcPr>
          <w:p w14:paraId="3591EE9B"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27.62</w:t>
            </w:r>
          </w:p>
        </w:tc>
        <w:tc>
          <w:tcPr>
            <w:tcW w:w="1701" w:type="dxa"/>
            <w:tcBorders>
              <w:top w:val="nil"/>
              <w:left w:val="nil"/>
              <w:bottom w:val="single" w:sz="4" w:space="0" w:color="auto"/>
              <w:right w:val="single" w:sz="4" w:space="0" w:color="auto"/>
            </w:tcBorders>
            <w:shd w:val="clear" w:color="auto" w:fill="auto"/>
            <w:vAlign w:val="bottom"/>
            <w:hideMark/>
          </w:tcPr>
          <w:p w14:paraId="3A7B7BE5"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29.93</w:t>
            </w:r>
          </w:p>
        </w:tc>
      </w:tr>
      <w:tr w:rsidR="00C70AC7" w:rsidRPr="00F971CE" w14:paraId="29CE2960" w14:textId="77777777" w:rsidTr="00C70AC7">
        <w:trPr>
          <w:trHeight w:val="305"/>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525898FA"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Skilled agricultural, forestry and fishery workers</w:t>
            </w:r>
          </w:p>
        </w:tc>
        <w:tc>
          <w:tcPr>
            <w:tcW w:w="2127" w:type="dxa"/>
            <w:tcBorders>
              <w:top w:val="nil"/>
              <w:left w:val="nil"/>
              <w:bottom w:val="single" w:sz="4" w:space="0" w:color="auto"/>
              <w:right w:val="single" w:sz="4" w:space="0" w:color="auto"/>
            </w:tcBorders>
            <w:shd w:val="clear" w:color="auto" w:fill="auto"/>
            <w:vAlign w:val="bottom"/>
            <w:hideMark/>
          </w:tcPr>
          <w:p w14:paraId="2BF19E3D"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5.44</w:t>
            </w:r>
          </w:p>
        </w:tc>
        <w:tc>
          <w:tcPr>
            <w:tcW w:w="2268" w:type="dxa"/>
            <w:tcBorders>
              <w:top w:val="nil"/>
              <w:left w:val="nil"/>
              <w:bottom w:val="single" w:sz="4" w:space="0" w:color="auto"/>
              <w:right w:val="single" w:sz="4" w:space="0" w:color="auto"/>
            </w:tcBorders>
            <w:shd w:val="clear" w:color="auto" w:fill="auto"/>
            <w:vAlign w:val="bottom"/>
            <w:hideMark/>
          </w:tcPr>
          <w:p w14:paraId="6F5067D1"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8.86</w:t>
            </w:r>
          </w:p>
        </w:tc>
        <w:tc>
          <w:tcPr>
            <w:tcW w:w="1701" w:type="dxa"/>
            <w:tcBorders>
              <w:top w:val="nil"/>
              <w:left w:val="nil"/>
              <w:bottom w:val="single" w:sz="4" w:space="0" w:color="auto"/>
              <w:right w:val="single" w:sz="4" w:space="0" w:color="auto"/>
            </w:tcBorders>
            <w:shd w:val="clear" w:color="auto" w:fill="auto"/>
            <w:vAlign w:val="bottom"/>
            <w:hideMark/>
          </w:tcPr>
          <w:p w14:paraId="7AABBF13"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6.87</w:t>
            </w:r>
          </w:p>
        </w:tc>
      </w:tr>
      <w:tr w:rsidR="00C70AC7" w:rsidRPr="00F971CE" w14:paraId="0D8AEEC3" w14:textId="77777777" w:rsidTr="00C70AC7">
        <w:trPr>
          <w:trHeight w:val="301"/>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651609E3"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Craft and related trades workers</w:t>
            </w:r>
          </w:p>
        </w:tc>
        <w:tc>
          <w:tcPr>
            <w:tcW w:w="2127" w:type="dxa"/>
            <w:tcBorders>
              <w:top w:val="nil"/>
              <w:left w:val="nil"/>
              <w:bottom w:val="single" w:sz="4" w:space="0" w:color="auto"/>
              <w:right w:val="single" w:sz="4" w:space="0" w:color="auto"/>
            </w:tcBorders>
            <w:shd w:val="clear" w:color="auto" w:fill="auto"/>
            <w:vAlign w:val="bottom"/>
            <w:hideMark/>
          </w:tcPr>
          <w:p w14:paraId="19862448"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12.49</w:t>
            </w:r>
          </w:p>
        </w:tc>
        <w:tc>
          <w:tcPr>
            <w:tcW w:w="2268" w:type="dxa"/>
            <w:tcBorders>
              <w:top w:val="nil"/>
              <w:left w:val="nil"/>
              <w:bottom w:val="single" w:sz="4" w:space="0" w:color="auto"/>
              <w:right w:val="single" w:sz="4" w:space="0" w:color="auto"/>
            </w:tcBorders>
            <w:shd w:val="clear" w:color="auto" w:fill="auto"/>
            <w:vAlign w:val="bottom"/>
            <w:hideMark/>
          </w:tcPr>
          <w:p w14:paraId="4A2A9754"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10.55</w:t>
            </w:r>
          </w:p>
        </w:tc>
        <w:tc>
          <w:tcPr>
            <w:tcW w:w="1701" w:type="dxa"/>
            <w:tcBorders>
              <w:top w:val="nil"/>
              <w:left w:val="nil"/>
              <w:bottom w:val="single" w:sz="4" w:space="0" w:color="auto"/>
              <w:right w:val="single" w:sz="4" w:space="0" w:color="auto"/>
            </w:tcBorders>
            <w:shd w:val="clear" w:color="auto" w:fill="auto"/>
            <w:vAlign w:val="bottom"/>
            <w:hideMark/>
          </w:tcPr>
          <w:p w14:paraId="5EFC3BB1"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11.59</w:t>
            </w:r>
          </w:p>
        </w:tc>
      </w:tr>
      <w:tr w:rsidR="00C70AC7" w:rsidRPr="00F971CE" w14:paraId="1E0C3398" w14:textId="77777777" w:rsidTr="00C70AC7">
        <w:trPr>
          <w:trHeight w:val="243"/>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25F6732D"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Plant and machine operators, and assemblers</w:t>
            </w:r>
          </w:p>
        </w:tc>
        <w:tc>
          <w:tcPr>
            <w:tcW w:w="2127" w:type="dxa"/>
            <w:tcBorders>
              <w:top w:val="nil"/>
              <w:left w:val="nil"/>
              <w:bottom w:val="single" w:sz="4" w:space="0" w:color="auto"/>
              <w:right w:val="single" w:sz="4" w:space="0" w:color="auto"/>
            </w:tcBorders>
            <w:shd w:val="clear" w:color="auto" w:fill="auto"/>
            <w:vAlign w:val="bottom"/>
            <w:hideMark/>
          </w:tcPr>
          <w:p w14:paraId="7AAD51FF"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6.21</w:t>
            </w:r>
          </w:p>
        </w:tc>
        <w:tc>
          <w:tcPr>
            <w:tcW w:w="2268" w:type="dxa"/>
            <w:tcBorders>
              <w:top w:val="nil"/>
              <w:left w:val="nil"/>
              <w:bottom w:val="single" w:sz="4" w:space="0" w:color="auto"/>
              <w:right w:val="single" w:sz="4" w:space="0" w:color="auto"/>
            </w:tcBorders>
            <w:shd w:val="clear" w:color="auto" w:fill="auto"/>
            <w:vAlign w:val="bottom"/>
            <w:hideMark/>
          </w:tcPr>
          <w:p w14:paraId="662F9CDE"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5.93</w:t>
            </w:r>
          </w:p>
        </w:tc>
        <w:tc>
          <w:tcPr>
            <w:tcW w:w="1701" w:type="dxa"/>
            <w:tcBorders>
              <w:top w:val="nil"/>
              <w:left w:val="nil"/>
              <w:bottom w:val="single" w:sz="4" w:space="0" w:color="auto"/>
              <w:right w:val="single" w:sz="4" w:space="0" w:color="auto"/>
            </w:tcBorders>
            <w:shd w:val="clear" w:color="auto" w:fill="auto"/>
            <w:vAlign w:val="bottom"/>
            <w:hideMark/>
          </w:tcPr>
          <w:p w14:paraId="4BA1ECF4"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4.51</w:t>
            </w:r>
          </w:p>
        </w:tc>
      </w:tr>
      <w:tr w:rsidR="00C70AC7" w:rsidRPr="00F971CE" w14:paraId="7B5FA580" w14:textId="77777777" w:rsidTr="00C70AC7">
        <w:trPr>
          <w:trHeight w:val="251"/>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552417B9"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Elementary occupations</w:t>
            </w:r>
          </w:p>
        </w:tc>
        <w:tc>
          <w:tcPr>
            <w:tcW w:w="2127" w:type="dxa"/>
            <w:tcBorders>
              <w:top w:val="nil"/>
              <w:left w:val="nil"/>
              <w:bottom w:val="single" w:sz="4" w:space="0" w:color="auto"/>
              <w:right w:val="single" w:sz="4" w:space="0" w:color="auto"/>
            </w:tcBorders>
            <w:shd w:val="clear" w:color="auto" w:fill="auto"/>
            <w:vAlign w:val="bottom"/>
            <w:hideMark/>
          </w:tcPr>
          <w:p w14:paraId="64AEF550"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14.54</w:t>
            </w:r>
          </w:p>
        </w:tc>
        <w:tc>
          <w:tcPr>
            <w:tcW w:w="2268" w:type="dxa"/>
            <w:tcBorders>
              <w:top w:val="nil"/>
              <w:left w:val="nil"/>
              <w:bottom w:val="single" w:sz="4" w:space="0" w:color="auto"/>
              <w:right w:val="single" w:sz="4" w:space="0" w:color="auto"/>
            </w:tcBorders>
            <w:shd w:val="clear" w:color="auto" w:fill="auto"/>
            <w:vAlign w:val="bottom"/>
            <w:hideMark/>
          </w:tcPr>
          <w:p w14:paraId="2705E77D"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11.96</w:t>
            </w:r>
          </w:p>
        </w:tc>
        <w:tc>
          <w:tcPr>
            <w:tcW w:w="1701" w:type="dxa"/>
            <w:tcBorders>
              <w:top w:val="nil"/>
              <w:left w:val="nil"/>
              <w:bottom w:val="single" w:sz="4" w:space="0" w:color="auto"/>
              <w:right w:val="single" w:sz="4" w:space="0" w:color="auto"/>
            </w:tcBorders>
            <w:shd w:val="clear" w:color="auto" w:fill="auto"/>
            <w:vAlign w:val="bottom"/>
            <w:hideMark/>
          </w:tcPr>
          <w:p w14:paraId="288E6FB1"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14.19</w:t>
            </w:r>
          </w:p>
        </w:tc>
      </w:tr>
      <w:tr w:rsidR="00C70AC7" w:rsidRPr="00F971CE" w14:paraId="4A47AC5D" w14:textId="77777777" w:rsidTr="00C70AC7">
        <w:trPr>
          <w:trHeight w:val="251"/>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1F5D154A"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Not Stated</w:t>
            </w:r>
          </w:p>
        </w:tc>
        <w:tc>
          <w:tcPr>
            <w:tcW w:w="2127" w:type="dxa"/>
            <w:tcBorders>
              <w:top w:val="nil"/>
              <w:left w:val="nil"/>
              <w:bottom w:val="single" w:sz="4" w:space="0" w:color="auto"/>
              <w:right w:val="single" w:sz="4" w:space="0" w:color="auto"/>
            </w:tcBorders>
            <w:shd w:val="clear" w:color="auto" w:fill="auto"/>
            <w:vAlign w:val="bottom"/>
            <w:hideMark/>
          </w:tcPr>
          <w:p w14:paraId="5106800A"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1.13</w:t>
            </w:r>
          </w:p>
        </w:tc>
        <w:tc>
          <w:tcPr>
            <w:tcW w:w="2268" w:type="dxa"/>
            <w:tcBorders>
              <w:top w:val="nil"/>
              <w:left w:val="nil"/>
              <w:bottom w:val="single" w:sz="4" w:space="0" w:color="auto"/>
              <w:right w:val="single" w:sz="4" w:space="0" w:color="auto"/>
            </w:tcBorders>
            <w:shd w:val="clear" w:color="auto" w:fill="auto"/>
            <w:vAlign w:val="bottom"/>
            <w:hideMark/>
          </w:tcPr>
          <w:p w14:paraId="016AD667"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1.1</w:t>
            </w:r>
          </w:p>
        </w:tc>
        <w:tc>
          <w:tcPr>
            <w:tcW w:w="1701" w:type="dxa"/>
            <w:tcBorders>
              <w:top w:val="nil"/>
              <w:left w:val="nil"/>
              <w:bottom w:val="single" w:sz="4" w:space="0" w:color="auto"/>
              <w:right w:val="single" w:sz="4" w:space="0" w:color="auto"/>
            </w:tcBorders>
            <w:shd w:val="clear" w:color="auto" w:fill="auto"/>
            <w:vAlign w:val="bottom"/>
            <w:hideMark/>
          </w:tcPr>
          <w:p w14:paraId="7AAFEDEE"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1.38</w:t>
            </w:r>
          </w:p>
        </w:tc>
      </w:tr>
      <w:tr w:rsidR="00C70AC7" w:rsidRPr="00F971CE" w14:paraId="05921842" w14:textId="77777777" w:rsidTr="00C70AC7">
        <w:trPr>
          <w:trHeight w:val="251"/>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3AAC3631" w14:textId="77777777" w:rsidR="00F971CE" w:rsidRPr="00F971CE" w:rsidRDefault="00F971CE" w:rsidP="00F971CE">
            <w:pPr>
              <w:spacing w:after="0" w:line="240" w:lineRule="auto"/>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Total</w:t>
            </w:r>
          </w:p>
        </w:tc>
        <w:tc>
          <w:tcPr>
            <w:tcW w:w="2127" w:type="dxa"/>
            <w:tcBorders>
              <w:top w:val="nil"/>
              <w:left w:val="nil"/>
              <w:bottom w:val="single" w:sz="4" w:space="0" w:color="auto"/>
              <w:right w:val="single" w:sz="4" w:space="0" w:color="auto"/>
            </w:tcBorders>
            <w:shd w:val="clear" w:color="auto" w:fill="auto"/>
            <w:vAlign w:val="bottom"/>
            <w:hideMark/>
          </w:tcPr>
          <w:p w14:paraId="7BA7B76F"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100</w:t>
            </w:r>
          </w:p>
        </w:tc>
        <w:tc>
          <w:tcPr>
            <w:tcW w:w="2268" w:type="dxa"/>
            <w:tcBorders>
              <w:top w:val="nil"/>
              <w:left w:val="nil"/>
              <w:bottom w:val="single" w:sz="4" w:space="0" w:color="auto"/>
              <w:right w:val="single" w:sz="4" w:space="0" w:color="auto"/>
            </w:tcBorders>
            <w:shd w:val="clear" w:color="auto" w:fill="auto"/>
            <w:vAlign w:val="bottom"/>
            <w:hideMark/>
          </w:tcPr>
          <w:p w14:paraId="6C352205"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100</w:t>
            </w:r>
          </w:p>
        </w:tc>
        <w:tc>
          <w:tcPr>
            <w:tcW w:w="1701" w:type="dxa"/>
            <w:tcBorders>
              <w:top w:val="nil"/>
              <w:left w:val="nil"/>
              <w:bottom w:val="single" w:sz="4" w:space="0" w:color="auto"/>
              <w:right w:val="single" w:sz="4" w:space="0" w:color="auto"/>
            </w:tcBorders>
            <w:shd w:val="clear" w:color="auto" w:fill="auto"/>
            <w:vAlign w:val="bottom"/>
            <w:hideMark/>
          </w:tcPr>
          <w:p w14:paraId="4D670E08" w14:textId="77777777" w:rsidR="00F971CE" w:rsidRPr="00F971CE" w:rsidRDefault="00F971CE" w:rsidP="00F971CE">
            <w:pPr>
              <w:spacing w:after="0" w:line="240" w:lineRule="auto"/>
              <w:jc w:val="right"/>
              <w:rPr>
                <w:rFonts w:ascii="Times New Roman" w:eastAsia="Times New Roman" w:hAnsi="Times New Roman" w:cs="Times New Roman"/>
                <w:b/>
                <w:bCs/>
                <w:sz w:val="18"/>
                <w:szCs w:val="18"/>
                <w:lang/>
              </w:rPr>
            </w:pPr>
            <w:r w:rsidRPr="00F971CE">
              <w:rPr>
                <w:rFonts w:ascii="Times New Roman" w:eastAsia="Times New Roman" w:hAnsi="Times New Roman" w:cs="Times New Roman"/>
                <w:b/>
                <w:bCs/>
                <w:sz w:val="18"/>
                <w:szCs w:val="18"/>
                <w:lang/>
              </w:rPr>
              <w:t>100</w:t>
            </w:r>
          </w:p>
        </w:tc>
      </w:tr>
    </w:tbl>
    <w:p w14:paraId="708EDE08" w14:textId="04053494" w:rsidR="001E4E0B" w:rsidRPr="00A743A9" w:rsidRDefault="001E4E0B" w:rsidP="00A743A9">
      <w:pPr>
        <w:spacing w:line="360" w:lineRule="auto"/>
        <w:jc w:val="both"/>
        <w:rPr>
          <w:rFonts w:ascii="Times New Roman" w:hAnsi="Times New Roman" w:cs="Times New Roman"/>
          <w:sz w:val="24"/>
          <w:szCs w:val="24"/>
          <w:lang/>
        </w:rPr>
      </w:pPr>
      <w:r w:rsidRPr="00A743A9">
        <w:rPr>
          <w:rFonts w:ascii="Times New Roman" w:hAnsi="Times New Roman" w:cs="Times New Roman"/>
          <w:sz w:val="24"/>
          <w:szCs w:val="24"/>
          <w:lang/>
        </w:rPr>
        <w:t xml:space="preserve">The </w:t>
      </w:r>
      <w:r w:rsidR="005B3848" w:rsidRPr="00A743A9">
        <w:rPr>
          <w:rFonts w:ascii="Times New Roman" w:hAnsi="Times New Roman" w:cs="Times New Roman"/>
          <w:sz w:val="24"/>
          <w:szCs w:val="24"/>
          <w:lang/>
        </w:rPr>
        <w:t xml:space="preserve">Employed Labour Force </w:t>
      </w:r>
      <w:r w:rsidR="00BB12BF" w:rsidRPr="00A743A9">
        <w:rPr>
          <w:rFonts w:ascii="Times New Roman" w:hAnsi="Times New Roman" w:cs="Times New Roman"/>
          <w:sz w:val="24"/>
          <w:szCs w:val="24"/>
          <w:lang/>
        </w:rPr>
        <w:t>by</w:t>
      </w:r>
      <w:r w:rsidR="005B3848" w:rsidRPr="00A743A9">
        <w:rPr>
          <w:rFonts w:ascii="Times New Roman" w:hAnsi="Times New Roman" w:cs="Times New Roman"/>
          <w:sz w:val="24"/>
          <w:szCs w:val="24"/>
          <w:lang/>
        </w:rPr>
        <w:t xml:space="preserve"> Industry Group, </w:t>
      </w:r>
      <w:r w:rsidRPr="00A743A9">
        <w:rPr>
          <w:rFonts w:ascii="Times New Roman" w:hAnsi="Times New Roman" w:cs="Times New Roman"/>
          <w:sz w:val="24"/>
          <w:szCs w:val="24"/>
          <w:lang/>
        </w:rPr>
        <w:t xml:space="preserve">represented in </w:t>
      </w:r>
      <w:r w:rsidR="00A743A9">
        <w:rPr>
          <w:rFonts w:ascii="Times New Roman" w:hAnsi="Times New Roman" w:cs="Times New Roman"/>
          <w:sz w:val="24"/>
          <w:szCs w:val="24"/>
          <w:lang/>
        </w:rPr>
        <w:t>Figure</w:t>
      </w:r>
      <w:r w:rsidR="00BB12BF" w:rsidRPr="00A743A9">
        <w:rPr>
          <w:rFonts w:ascii="Times New Roman" w:hAnsi="Times New Roman" w:cs="Times New Roman"/>
          <w:sz w:val="24"/>
          <w:szCs w:val="24"/>
          <w:lang/>
        </w:rPr>
        <w:t xml:space="preserve"> 3</w:t>
      </w:r>
      <w:r w:rsidRPr="00A743A9">
        <w:rPr>
          <w:rFonts w:ascii="Times New Roman" w:hAnsi="Times New Roman" w:cs="Times New Roman"/>
          <w:sz w:val="24"/>
          <w:szCs w:val="24"/>
          <w:lang/>
        </w:rPr>
        <w:t xml:space="preserve">, provides a snapshot of employment across various sectors in Saint Lucia for the 1st Quarter of 2025, 4th Quarter of 2024, and 1st Quarter of 2024. Overall, the total employed labour force in Saint Lucia for the 1st Quarter of 2025 stood at 97,033 individuals. This marks a </w:t>
      </w:r>
      <w:r w:rsidR="007E5D4F" w:rsidRPr="00A743A9">
        <w:rPr>
          <w:rFonts w:ascii="Times New Roman" w:hAnsi="Times New Roman" w:cs="Times New Roman"/>
          <w:sz w:val="24"/>
          <w:szCs w:val="24"/>
          <w:lang/>
        </w:rPr>
        <w:t>slight decrease</w:t>
      </w:r>
      <w:r w:rsidRPr="00A743A9">
        <w:rPr>
          <w:rFonts w:ascii="Times New Roman" w:hAnsi="Times New Roman" w:cs="Times New Roman"/>
          <w:sz w:val="24"/>
          <w:szCs w:val="24"/>
          <w:lang/>
        </w:rPr>
        <w:t xml:space="preserve"> from the 4th Quarter of 2024, which recorded 99,453 employed persons, and an increase from the 1st Quarter of 2024, which had 96,434 employed individuals.</w:t>
      </w:r>
      <w:r w:rsidR="007E5D4F" w:rsidRPr="00A743A9">
        <w:rPr>
          <w:rFonts w:ascii="Times New Roman" w:hAnsi="Times New Roman" w:cs="Times New Roman"/>
          <w:sz w:val="24"/>
          <w:szCs w:val="24"/>
          <w:lang/>
        </w:rPr>
        <w:t xml:space="preserve"> </w:t>
      </w:r>
      <w:r w:rsidRPr="00A743A9">
        <w:rPr>
          <w:rFonts w:ascii="Times New Roman" w:hAnsi="Times New Roman" w:cs="Times New Roman"/>
          <w:b/>
          <w:bCs/>
          <w:sz w:val="24"/>
          <w:szCs w:val="24"/>
          <w:lang/>
        </w:rPr>
        <w:t>Wholesale and retail trade</w:t>
      </w:r>
      <w:r w:rsidRPr="00A743A9">
        <w:rPr>
          <w:rFonts w:ascii="Times New Roman" w:hAnsi="Times New Roman" w:cs="Times New Roman"/>
          <w:sz w:val="24"/>
          <w:szCs w:val="24"/>
          <w:lang/>
        </w:rPr>
        <w:t xml:space="preserve">; </w:t>
      </w:r>
      <w:r w:rsidRPr="00A743A9">
        <w:rPr>
          <w:rFonts w:ascii="Times New Roman" w:hAnsi="Times New Roman" w:cs="Times New Roman"/>
          <w:b/>
          <w:bCs/>
          <w:sz w:val="24"/>
          <w:szCs w:val="24"/>
          <w:lang/>
        </w:rPr>
        <w:t xml:space="preserve">repair of motor vehicles and motorcycles </w:t>
      </w:r>
      <w:r w:rsidRPr="00A743A9">
        <w:rPr>
          <w:rFonts w:ascii="Times New Roman" w:hAnsi="Times New Roman" w:cs="Times New Roman"/>
          <w:sz w:val="24"/>
          <w:szCs w:val="24"/>
          <w:lang/>
        </w:rPr>
        <w:t xml:space="preserve">consistently remained the largest employer across all three quarters, with 14,050 employed in Q1 2025, 14,877 in Q4 2024, and 16,919 in Q1 2024. </w:t>
      </w:r>
      <w:r w:rsidRPr="00A743A9">
        <w:rPr>
          <w:rFonts w:ascii="Times New Roman" w:hAnsi="Times New Roman" w:cs="Times New Roman"/>
          <w:b/>
          <w:bCs/>
          <w:sz w:val="24"/>
          <w:szCs w:val="24"/>
          <w:lang/>
        </w:rPr>
        <w:t>Accommodation and food service activities</w:t>
      </w:r>
      <w:r w:rsidRPr="00A743A9">
        <w:rPr>
          <w:rFonts w:ascii="Times New Roman" w:hAnsi="Times New Roman" w:cs="Times New Roman"/>
          <w:sz w:val="24"/>
          <w:szCs w:val="24"/>
          <w:lang/>
        </w:rPr>
        <w:t xml:space="preserve"> also showed significant employment figures, </w:t>
      </w:r>
      <w:r w:rsidR="007E5D4F" w:rsidRPr="00A743A9">
        <w:rPr>
          <w:rFonts w:ascii="Times New Roman" w:hAnsi="Times New Roman" w:cs="Times New Roman"/>
          <w:sz w:val="24"/>
          <w:szCs w:val="24"/>
          <w:lang/>
        </w:rPr>
        <w:t>totalling</w:t>
      </w:r>
      <w:r w:rsidRPr="00A743A9">
        <w:rPr>
          <w:rFonts w:ascii="Times New Roman" w:hAnsi="Times New Roman" w:cs="Times New Roman"/>
          <w:sz w:val="24"/>
          <w:szCs w:val="24"/>
          <w:lang/>
        </w:rPr>
        <w:t xml:space="preserve"> 16,059 in Q1 2025, a notable increase from 14,222 in Q4 2024 and 15,517 in Q1 2024.</w:t>
      </w:r>
    </w:p>
    <w:p w14:paraId="011B81A5" w14:textId="16B2CB24" w:rsidR="00CE7F58" w:rsidRDefault="001E4E0B" w:rsidP="00A743A9">
      <w:pPr>
        <w:spacing w:line="360" w:lineRule="auto"/>
        <w:jc w:val="both"/>
        <w:rPr>
          <w:rFonts w:ascii="Times New Roman" w:hAnsi="Times New Roman" w:cs="Times New Roman"/>
          <w:sz w:val="24"/>
          <w:szCs w:val="24"/>
          <w:lang/>
        </w:rPr>
      </w:pPr>
      <w:r w:rsidRPr="00A743A9">
        <w:rPr>
          <w:rFonts w:ascii="Times New Roman" w:hAnsi="Times New Roman" w:cs="Times New Roman"/>
          <w:sz w:val="24"/>
          <w:szCs w:val="24"/>
          <w:lang/>
        </w:rPr>
        <w:t xml:space="preserve">Comparing Q1 2025 to Q4 2024, some sectors experienced declines in employment, such as </w:t>
      </w:r>
      <w:r w:rsidRPr="00A743A9">
        <w:rPr>
          <w:rFonts w:ascii="Times New Roman" w:hAnsi="Times New Roman" w:cs="Times New Roman"/>
          <w:b/>
          <w:bCs/>
          <w:sz w:val="24"/>
          <w:szCs w:val="24"/>
          <w:lang/>
        </w:rPr>
        <w:t>Agriculture, forestry and fishing</w:t>
      </w:r>
      <w:r w:rsidRPr="00A743A9">
        <w:rPr>
          <w:rFonts w:ascii="Times New Roman" w:hAnsi="Times New Roman" w:cs="Times New Roman"/>
          <w:sz w:val="24"/>
          <w:szCs w:val="24"/>
          <w:lang/>
        </w:rPr>
        <w:t xml:space="preserve"> (from 9,793 to 8,095) and </w:t>
      </w:r>
      <w:r w:rsidRPr="00A743A9">
        <w:rPr>
          <w:rFonts w:ascii="Times New Roman" w:hAnsi="Times New Roman" w:cs="Times New Roman"/>
          <w:b/>
          <w:bCs/>
          <w:sz w:val="24"/>
          <w:szCs w:val="24"/>
          <w:lang/>
        </w:rPr>
        <w:t>Manufacturing</w:t>
      </w:r>
      <w:r w:rsidRPr="00A743A9">
        <w:rPr>
          <w:rFonts w:ascii="Times New Roman" w:hAnsi="Times New Roman" w:cs="Times New Roman"/>
          <w:sz w:val="24"/>
          <w:szCs w:val="24"/>
          <w:lang/>
        </w:rPr>
        <w:t xml:space="preserve"> (from 6,066 to 4,625). Conversely, </w:t>
      </w:r>
      <w:r w:rsidRPr="00A743A9">
        <w:rPr>
          <w:rFonts w:ascii="Times New Roman" w:hAnsi="Times New Roman" w:cs="Times New Roman"/>
          <w:b/>
          <w:bCs/>
          <w:sz w:val="24"/>
          <w:szCs w:val="24"/>
          <w:lang/>
        </w:rPr>
        <w:t>Construction</w:t>
      </w:r>
      <w:r w:rsidRPr="00A743A9">
        <w:rPr>
          <w:rFonts w:ascii="Times New Roman" w:hAnsi="Times New Roman" w:cs="Times New Roman"/>
          <w:sz w:val="24"/>
          <w:szCs w:val="24"/>
          <w:lang/>
        </w:rPr>
        <w:t xml:space="preserve"> saw an increase, moving from 7,337 in Q4 2024 to 7,595 in Q1 2025. </w:t>
      </w:r>
      <w:r w:rsidRPr="00A743A9">
        <w:rPr>
          <w:rFonts w:ascii="Times New Roman" w:hAnsi="Times New Roman" w:cs="Times New Roman"/>
          <w:b/>
          <w:bCs/>
          <w:sz w:val="24"/>
          <w:szCs w:val="24"/>
          <w:lang/>
        </w:rPr>
        <w:t>Public administration and defence; compulsory social security</w:t>
      </w:r>
      <w:r w:rsidRPr="00A743A9">
        <w:rPr>
          <w:rFonts w:ascii="Times New Roman" w:hAnsi="Times New Roman" w:cs="Times New Roman"/>
          <w:sz w:val="24"/>
          <w:szCs w:val="24"/>
          <w:lang/>
        </w:rPr>
        <w:t xml:space="preserve"> also experienced a slight decrease from </w:t>
      </w:r>
      <w:r w:rsidR="00CE7F58" w:rsidRPr="00A743A9">
        <w:rPr>
          <w:rFonts w:ascii="Times New Roman" w:hAnsi="Times New Roman" w:cs="Times New Roman"/>
          <w:sz w:val="24"/>
          <w:szCs w:val="24"/>
          <w:lang/>
        </w:rPr>
        <w:t>8053 to 7641.</w:t>
      </w:r>
    </w:p>
    <w:p w14:paraId="49FBCB60" w14:textId="336FADC1" w:rsidR="00955DF7" w:rsidRDefault="006D50E8" w:rsidP="009D6D84">
      <w:pPr>
        <w:spacing w:line="240" w:lineRule="auto"/>
        <w:rPr>
          <w:rFonts w:ascii="Times New Roman" w:hAnsi="Times New Roman" w:cs="Times New Roman"/>
          <w:b/>
          <w:bCs/>
          <w:sz w:val="18"/>
          <w:szCs w:val="18"/>
        </w:rPr>
      </w:pPr>
      <w:r w:rsidRPr="00955DF7">
        <w:rPr>
          <w:noProof/>
        </w:rPr>
        <w:lastRenderedPageBreak/>
        <w:drawing>
          <wp:inline distT="0" distB="0" distL="0" distR="0" wp14:anchorId="5126705B" wp14:editId="77F5CCB0">
            <wp:extent cx="6941820" cy="4552950"/>
            <wp:effectExtent l="0" t="0" r="11430" b="0"/>
            <wp:docPr id="212955394" name="Chart 1">
              <a:extLst xmlns:a="http://schemas.openxmlformats.org/drawingml/2006/main">
                <a:ext uri="{FF2B5EF4-FFF2-40B4-BE49-F238E27FC236}">
                  <a16:creationId xmlns:a16="http://schemas.microsoft.com/office/drawing/2014/main" id="{D6ADD494-C80F-41ED-479C-74B252AF7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47A23A" w14:textId="425AABAF" w:rsidR="00CE7F58" w:rsidRDefault="00CE7F58" w:rsidP="009D6D84">
      <w:pPr>
        <w:spacing w:line="240" w:lineRule="auto"/>
        <w:jc w:val="both"/>
        <w:rPr>
          <w:rFonts w:ascii="Times New Roman" w:hAnsi="Times New Roman" w:cs="Times New Roman"/>
          <w:b/>
          <w:bCs/>
          <w:i/>
          <w:iCs/>
          <w:sz w:val="18"/>
          <w:szCs w:val="18"/>
        </w:rPr>
      </w:pPr>
      <w:r w:rsidRPr="00BB0380">
        <w:rPr>
          <w:rFonts w:ascii="Times New Roman" w:hAnsi="Times New Roman" w:cs="Times New Roman"/>
          <w:b/>
          <w:bCs/>
          <w:i/>
          <w:iCs/>
          <w:sz w:val="18"/>
          <w:szCs w:val="18"/>
        </w:rPr>
        <w:t xml:space="preserve">Figure </w:t>
      </w:r>
      <w:r w:rsidR="00BB12BF" w:rsidRPr="00BB0380">
        <w:rPr>
          <w:rFonts w:ascii="Times New Roman" w:hAnsi="Times New Roman" w:cs="Times New Roman"/>
          <w:b/>
          <w:bCs/>
          <w:i/>
          <w:iCs/>
          <w:sz w:val="18"/>
          <w:szCs w:val="18"/>
        </w:rPr>
        <w:t>3</w:t>
      </w:r>
      <w:r w:rsidRPr="00BB0380">
        <w:rPr>
          <w:rFonts w:ascii="Times New Roman" w:hAnsi="Times New Roman" w:cs="Times New Roman"/>
          <w:b/>
          <w:bCs/>
          <w:i/>
          <w:iCs/>
          <w:sz w:val="18"/>
          <w:szCs w:val="18"/>
        </w:rPr>
        <w:t>: Employed by Industry Group Qtr</w:t>
      </w:r>
      <w:r w:rsidR="009D6D84" w:rsidRPr="00BB0380">
        <w:rPr>
          <w:rFonts w:ascii="Times New Roman" w:hAnsi="Times New Roman" w:cs="Times New Roman"/>
          <w:b/>
          <w:bCs/>
          <w:i/>
          <w:iCs/>
          <w:sz w:val="18"/>
          <w:szCs w:val="18"/>
        </w:rPr>
        <w:t>.</w:t>
      </w:r>
      <w:r w:rsidRPr="00BB0380">
        <w:rPr>
          <w:rFonts w:ascii="Times New Roman" w:hAnsi="Times New Roman" w:cs="Times New Roman"/>
          <w:b/>
          <w:bCs/>
          <w:i/>
          <w:iCs/>
          <w:sz w:val="18"/>
          <w:szCs w:val="18"/>
        </w:rPr>
        <w:t xml:space="preserve"> 1 2025</w:t>
      </w:r>
    </w:p>
    <w:p w14:paraId="17E71F73" w14:textId="77777777" w:rsidR="00C70AC7" w:rsidRPr="00C70AC7" w:rsidRDefault="00C70AC7" w:rsidP="00C70AC7">
      <w:pPr>
        <w:rPr>
          <w:rFonts w:ascii="Times New Roman" w:hAnsi="Times New Roman" w:cs="Times New Roman"/>
          <w:sz w:val="18"/>
          <w:szCs w:val="18"/>
        </w:rPr>
      </w:pPr>
    </w:p>
    <w:p w14:paraId="6AA8E6E7" w14:textId="4CDB9AA7" w:rsidR="00F60F5C" w:rsidRPr="00A743A9" w:rsidRDefault="00955DF7" w:rsidP="00A743A9">
      <w:pPr>
        <w:pStyle w:val="Heading1"/>
        <w:rPr>
          <w:b/>
          <w:bCs/>
          <w:sz w:val="20"/>
          <w:szCs w:val="20"/>
        </w:rPr>
      </w:pPr>
      <w:bookmarkStart w:id="6" w:name="_Toc201755041"/>
      <w:r w:rsidRPr="00A743A9">
        <w:rPr>
          <w:b/>
          <w:bCs/>
          <w:noProof/>
          <w:sz w:val="28"/>
          <w:szCs w:val="28"/>
        </w:rPr>
        <w:lastRenderedPageBreak/>
        <w:drawing>
          <wp:anchor distT="0" distB="0" distL="114300" distR="114300" simplePos="0" relativeHeight="251674624" behindDoc="0" locked="0" layoutInCell="1" allowOverlap="1" wp14:anchorId="3E05B886" wp14:editId="026F606E">
            <wp:simplePos x="0" y="0"/>
            <wp:positionH relativeFrom="column">
              <wp:posOffset>-558800</wp:posOffset>
            </wp:positionH>
            <wp:positionV relativeFrom="paragraph">
              <wp:posOffset>304800</wp:posOffset>
            </wp:positionV>
            <wp:extent cx="5417820" cy="3497580"/>
            <wp:effectExtent l="0" t="0" r="11430" b="7620"/>
            <wp:wrapThrough wrapText="bothSides">
              <wp:wrapPolygon edited="0">
                <wp:start x="0" y="0"/>
                <wp:lineTo x="0" y="21529"/>
                <wp:lineTo x="21570" y="21529"/>
                <wp:lineTo x="21570" y="0"/>
                <wp:lineTo x="0" y="0"/>
              </wp:wrapPolygon>
            </wp:wrapThrough>
            <wp:docPr id="1768155224" name="Chart 1">
              <a:extLst xmlns:a="http://schemas.openxmlformats.org/drawingml/2006/main">
                <a:ext uri="{FF2B5EF4-FFF2-40B4-BE49-F238E27FC236}">
                  <a16:creationId xmlns:a16="http://schemas.microsoft.com/office/drawing/2014/main" id="{64A0B716-DA7D-A9AA-EEA3-2455F8BD6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60F5C" w:rsidRPr="00A743A9">
        <w:rPr>
          <w:b/>
          <w:bCs/>
          <w:sz w:val="28"/>
          <w:szCs w:val="28"/>
          <w:lang/>
        </w:rPr>
        <w:t>UNEMPLOYED LABOUR FORCE</w:t>
      </w:r>
      <w:bookmarkEnd w:id="6"/>
    </w:p>
    <w:p w14:paraId="71B1E2CC" w14:textId="68BD7F1C" w:rsidR="00BB12BF" w:rsidRDefault="00F60F5C" w:rsidP="00A743A9">
      <w:pPr>
        <w:spacing w:line="360" w:lineRule="auto"/>
        <w:jc w:val="both"/>
        <w:rPr>
          <w:rFonts w:ascii="Times New Roman" w:hAnsi="Times New Roman" w:cs="Times New Roman"/>
          <w:sz w:val="24"/>
          <w:szCs w:val="24"/>
          <w:lang/>
        </w:rPr>
      </w:pPr>
      <w:r w:rsidRPr="00955DF7">
        <w:rPr>
          <w:rFonts w:ascii="Times New Roman" w:hAnsi="Times New Roman" w:cs="Times New Roman"/>
          <w:sz w:val="24"/>
          <w:szCs w:val="24"/>
          <w:lang/>
        </w:rPr>
        <w:t xml:space="preserve">The unemployment figures from the Labour Force Survey show an upward trend in the overall unemployment rates for the 1st quarter of 2025. Saint Lucia’s unemployment rate increased sharply to </w:t>
      </w:r>
      <w:r w:rsidRPr="00955DF7">
        <w:rPr>
          <w:rFonts w:ascii="Times New Roman" w:hAnsi="Times New Roman" w:cs="Times New Roman"/>
          <w:b/>
          <w:bCs/>
          <w:sz w:val="24"/>
          <w:szCs w:val="24"/>
          <w:lang/>
        </w:rPr>
        <w:t>14.1%</w:t>
      </w:r>
      <w:r w:rsidRPr="00955DF7">
        <w:rPr>
          <w:rFonts w:ascii="Times New Roman" w:hAnsi="Times New Roman" w:cs="Times New Roman"/>
          <w:sz w:val="24"/>
          <w:szCs w:val="24"/>
          <w:lang/>
        </w:rPr>
        <w:t xml:space="preserve">, a significant rise from </w:t>
      </w:r>
      <w:r w:rsidRPr="00955DF7">
        <w:rPr>
          <w:rFonts w:ascii="Times New Roman" w:hAnsi="Times New Roman" w:cs="Times New Roman"/>
          <w:b/>
          <w:bCs/>
          <w:sz w:val="24"/>
          <w:szCs w:val="24"/>
          <w:lang/>
        </w:rPr>
        <w:t>8.8%</w:t>
      </w:r>
      <w:r w:rsidRPr="00955DF7">
        <w:rPr>
          <w:rFonts w:ascii="Times New Roman" w:hAnsi="Times New Roman" w:cs="Times New Roman"/>
          <w:sz w:val="24"/>
          <w:szCs w:val="24"/>
          <w:lang/>
        </w:rPr>
        <w:t xml:space="preserve"> in the previous quarter (Q4 2024) and even higher than the </w:t>
      </w:r>
      <w:r w:rsidRPr="00955DF7">
        <w:rPr>
          <w:rFonts w:ascii="Times New Roman" w:hAnsi="Times New Roman" w:cs="Times New Roman"/>
          <w:b/>
          <w:bCs/>
          <w:sz w:val="24"/>
          <w:szCs w:val="24"/>
          <w:lang/>
        </w:rPr>
        <w:t>11.4%</w:t>
      </w:r>
      <w:r w:rsidRPr="00955DF7">
        <w:rPr>
          <w:rFonts w:ascii="Times New Roman" w:hAnsi="Times New Roman" w:cs="Times New Roman"/>
          <w:sz w:val="24"/>
          <w:szCs w:val="24"/>
          <w:lang/>
        </w:rPr>
        <w:t xml:space="preserve"> recorded in Q1 2024. </w:t>
      </w:r>
      <w:r w:rsidR="00BB12BF" w:rsidRPr="00955DF7">
        <w:rPr>
          <w:rFonts w:ascii="Times New Roman" w:hAnsi="Times New Roman" w:cs="Times New Roman"/>
          <w:sz w:val="24"/>
          <w:szCs w:val="24"/>
          <w:lang/>
        </w:rPr>
        <w:t xml:space="preserve">This </w:t>
      </w:r>
      <w:r w:rsidR="00BB12BF">
        <w:rPr>
          <w:rFonts w:ascii="Times New Roman" w:hAnsi="Times New Roman" w:cs="Times New Roman"/>
          <w:sz w:val="24"/>
          <w:szCs w:val="24"/>
          <w:lang/>
        </w:rPr>
        <w:t>signals</w:t>
      </w:r>
      <w:r w:rsidRPr="00955DF7">
        <w:rPr>
          <w:rFonts w:ascii="Times New Roman" w:hAnsi="Times New Roman" w:cs="Times New Roman"/>
          <w:sz w:val="24"/>
          <w:szCs w:val="24"/>
          <w:lang/>
        </w:rPr>
        <w:t xml:space="preserve"> growing labour market challenges in the post-holiday (seasonality) or early-year period.</w:t>
      </w:r>
      <w:r w:rsidR="009F7B95" w:rsidRPr="00955DF7">
        <w:rPr>
          <w:rFonts w:ascii="Times New Roman" w:hAnsi="Times New Roman" w:cs="Times New Roman"/>
          <w:sz w:val="24"/>
          <w:szCs w:val="24"/>
          <w:lang/>
        </w:rPr>
        <w:t xml:space="preserve"> Accommodation, Food, Services within the period </w:t>
      </w:r>
      <w:r w:rsidR="00BB12BF">
        <w:rPr>
          <w:rFonts w:ascii="Times New Roman" w:hAnsi="Times New Roman" w:cs="Times New Roman"/>
          <w:sz w:val="24"/>
          <w:szCs w:val="24"/>
          <w:lang/>
        </w:rPr>
        <w:t>were</w:t>
      </w:r>
      <w:r w:rsidR="009F7B95" w:rsidRPr="00955DF7">
        <w:rPr>
          <w:rFonts w:ascii="Times New Roman" w:hAnsi="Times New Roman" w:cs="Times New Roman"/>
          <w:sz w:val="24"/>
          <w:szCs w:val="24"/>
          <w:lang/>
        </w:rPr>
        <w:t xml:space="preserve"> the only major sector to realize an increase from the </w:t>
      </w:r>
      <w:r w:rsidR="00955DF7" w:rsidRPr="00955DF7">
        <w:rPr>
          <w:rFonts w:ascii="Times New Roman" w:hAnsi="Times New Roman" w:cs="Times New Roman"/>
          <w:sz w:val="24"/>
          <w:szCs w:val="24"/>
          <w:lang/>
        </w:rPr>
        <w:t>previous</w:t>
      </w:r>
      <w:r w:rsidR="009F7B95" w:rsidRPr="00955DF7">
        <w:rPr>
          <w:rFonts w:ascii="Times New Roman" w:hAnsi="Times New Roman" w:cs="Times New Roman"/>
          <w:sz w:val="24"/>
          <w:szCs w:val="24"/>
          <w:lang/>
        </w:rPr>
        <w:t xml:space="preserve"> period </w:t>
      </w:r>
      <w:r w:rsidR="00BB12BF">
        <w:rPr>
          <w:rFonts w:ascii="Times New Roman" w:hAnsi="Times New Roman" w:cs="Times New Roman"/>
          <w:sz w:val="24"/>
          <w:szCs w:val="24"/>
          <w:lang/>
        </w:rPr>
        <w:t>Q</w:t>
      </w:r>
      <w:r w:rsidR="009F7B95" w:rsidRPr="00955DF7">
        <w:rPr>
          <w:rFonts w:ascii="Times New Roman" w:hAnsi="Times New Roman" w:cs="Times New Roman"/>
          <w:sz w:val="24"/>
          <w:szCs w:val="24"/>
          <w:lang/>
        </w:rPr>
        <w:t>tr.4 2024.</w:t>
      </w:r>
    </w:p>
    <w:p w14:paraId="25C765B6" w14:textId="77777777" w:rsidR="00BB12BF" w:rsidRDefault="00BB12BF" w:rsidP="00BB12BF">
      <w:pPr>
        <w:spacing w:line="360" w:lineRule="auto"/>
        <w:rPr>
          <w:rFonts w:ascii="Times New Roman" w:hAnsi="Times New Roman" w:cs="Times New Roman"/>
          <w:sz w:val="24"/>
          <w:szCs w:val="24"/>
          <w:lang/>
        </w:rPr>
      </w:pPr>
    </w:p>
    <w:p w14:paraId="78C22EDC" w14:textId="77777777" w:rsidR="00C70AC7" w:rsidRDefault="00C70AC7" w:rsidP="00BB12BF">
      <w:pPr>
        <w:spacing w:line="240" w:lineRule="auto"/>
        <w:rPr>
          <w:rFonts w:ascii="Times New Roman" w:hAnsi="Times New Roman" w:cs="Times New Roman"/>
          <w:b/>
          <w:bCs/>
          <w:i/>
          <w:iCs/>
          <w:sz w:val="18"/>
          <w:szCs w:val="18"/>
        </w:rPr>
      </w:pPr>
    </w:p>
    <w:p w14:paraId="229B93F5" w14:textId="461D9AA3" w:rsidR="00BB12BF" w:rsidRPr="00BB12BF" w:rsidRDefault="00BB12BF" w:rsidP="00BB12BF">
      <w:pPr>
        <w:spacing w:line="240" w:lineRule="auto"/>
        <w:rPr>
          <w:rFonts w:ascii="Times New Roman" w:hAnsi="Times New Roman" w:cs="Times New Roman"/>
          <w:lang/>
        </w:rPr>
      </w:pPr>
      <w:r w:rsidRPr="00BB12BF">
        <w:rPr>
          <w:rFonts w:ascii="Times New Roman" w:hAnsi="Times New Roman" w:cs="Times New Roman"/>
          <w:b/>
          <w:bCs/>
          <w:i/>
          <w:iCs/>
          <w:sz w:val="18"/>
          <w:szCs w:val="18"/>
        </w:rPr>
        <w:t xml:space="preserve">Figure </w:t>
      </w:r>
      <w:r>
        <w:rPr>
          <w:rFonts w:ascii="Times New Roman" w:hAnsi="Times New Roman" w:cs="Times New Roman"/>
          <w:b/>
          <w:bCs/>
          <w:i/>
          <w:iCs/>
          <w:sz w:val="18"/>
          <w:szCs w:val="18"/>
        </w:rPr>
        <w:t>4</w:t>
      </w:r>
      <w:r w:rsidRPr="00BB12BF">
        <w:rPr>
          <w:rFonts w:ascii="Times New Roman" w:hAnsi="Times New Roman" w:cs="Times New Roman"/>
          <w:b/>
          <w:bCs/>
          <w:i/>
          <w:iCs/>
          <w:sz w:val="18"/>
          <w:szCs w:val="18"/>
        </w:rPr>
        <w:t>: Unemployed Labour Force over Quarters by Sex.</w:t>
      </w:r>
    </w:p>
    <w:p w14:paraId="65DD23AA" w14:textId="77777777" w:rsidR="00BB12BF" w:rsidRPr="00BB12BF" w:rsidRDefault="00BB12BF" w:rsidP="000C4E74">
      <w:pPr>
        <w:spacing w:line="360" w:lineRule="auto"/>
        <w:rPr>
          <w:rFonts w:ascii="Times New Roman" w:hAnsi="Times New Roman" w:cs="Times New Roman"/>
          <w:sz w:val="24"/>
          <w:szCs w:val="24"/>
        </w:rPr>
      </w:pPr>
    </w:p>
    <w:p w14:paraId="0CEBDEB0" w14:textId="6FAE2FAF" w:rsidR="00F60F5C" w:rsidRPr="00955DF7" w:rsidRDefault="00F60F5C" w:rsidP="00A743A9">
      <w:pPr>
        <w:spacing w:line="360" w:lineRule="auto"/>
        <w:jc w:val="both"/>
        <w:rPr>
          <w:rFonts w:ascii="Times New Roman" w:hAnsi="Times New Roman" w:cs="Times New Roman"/>
          <w:sz w:val="24"/>
          <w:szCs w:val="24"/>
          <w:lang/>
        </w:rPr>
      </w:pPr>
      <w:r w:rsidRPr="00955DF7">
        <w:rPr>
          <w:rFonts w:ascii="Times New Roman" w:hAnsi="Times New Roman" w:cs="Times New Roman"/>
          <w:sz w:val="24"/>
          <w:szCs w:val="24"/>
          <w:lang/>
        </w:rPr>
        <w:t>Analyzing the gender-specific rates for Q1 2025, the female unemployment rate stood significantly higher at 19.1% compared to the male unemployment rate of 9.0%. Both male and female unemployment rates increased from Q4 2024 (7.4% for males and 10.4% for females) and also from Q1 2024 (10.2% for males and 12.8% for females).</w:t>
      </w:r>
      <w:r w:rsidR="00EB4C8A" w:rsidRPr="00955DF7">
        <w:rPr>
          <w:rFonts w:ascii="Times New Roman" w:hAnsi="Times New Roman" w:cs="Times New Roman"/>
          <w:sz w:val="24"/>
          <w:szCs w:val="24"/>
          <w:lang/>
        </w:rPr>
        <w:t xml:space="preserve">  A significant increase was revealed within the employed age cohort 20-24 Years. This </w:t>
      </w:r>
      <w:r w:rsidR="00955DF7" w:rsidRPr="00955DF7">
        <w:rPr>
          <w:rFonts w:ascii="Times New Roman" w:hAnsi="Times New Roman" w:cs="Times New Roman"/>
          <w:sz w:val="24"/>
          <w:szCs w:val="24"/>
          <w:lang/>
        </w:rPr>
        <w:t>indicates</w:t>
      </w:r>
      <w:r w:rsidR="00EB4C8A" w:rsidRPr="00955DF7">
        <w:rPr>
          <w:rFonts w:ascii="Times New Roman" w:hAnsi="Times New Roman" w:cs="Times New Roman"/>
          <w:sz w:val="24"/>
          <w:szCs w:val="24"/>
          <w:lang/>
        </w:rPr>
        <w:t xml:space="preserve"> </w:t>
      </w:r>
      <w:r w:rsidR="00955DF7" w:rsidRPr="00955DF7">
        <w:rPr>
          <w:rFonts w:ascii="Times New Roman" w:hAnsi="Times New Roman" w:cs="Times New Roman"/>
          <w:sz w:val="24"/>
          <w:szCs w:val="24"/>
          <w:lang/>
        </w:rPr>
        <w:t>a</w:t>
      </w:r>
      <w:r w:rsidR="00EB4C8A" w:rsidRPr="00955DF7">
        <w:rPr>
          <w:rFonts w:ascii="Times New Roman" w:hAnsi="Times New Roman" w:cs="Times New Roman"/>
          <w:sz w:val="24"/>
          <w:szCs w:val="24"/>
          <w:lang/>
        </w:rPr>
        <w:t xml:space="preserve"> substantial increase </w:t>
      </w:r>
      <w:r w:rsidR="00955DF7" w:rsidRPr="00955DF7">
        <w:rPr>
          <w:rFonts w:ascii="Times New Roman" w:hAnsi="Times New Roman" w:cs="Times New Roman"/>
          <w:sz w:val="24"/>
          <w:szCs w:val="24"/>
          <w:lang/>
        </w:rPr>
        <w:t>among</w:t>
      </w:r>
      <w:r w:rsidR="00EB4C8A" w:rsidRPr="00955DF7">
        <w:rPr>
          <w:rFonts w:ascii="Times New Roman" w:hAnsi="Times New Roman" w:cs="Times New Roman"/>
          <w:sz w:val="24"/>
          <w:szCs w:val="24"/>
          <w:lang/>
        </w:rPr>
        <w:t xml:space="preserve"> the youth for the period in question.</w:t>
      </w:r>
    </w:p>
    <w:p w14:paraId="4FCAB30B" w14:textId="5CCA0FAD" w:rsidR="00F60F5C" w:rsidRPr="00955DF7" w:rsidRDefault="00F60F5C" w:rsidP="00A743A9">
      <w:pPr>
        <w:spacing w:line="360" w:lineRule="auto"/>
        <w:jc w:val="both"/>
        <w:rPr>
          <w:rFonts w:ascii="Times New Roman" w:hAnsi="Times New Roman" w:cs="Times New Roman"/>
          <w:sz w:val="24"/>
          <w:szCs w:val="24"/>
          <w:lang/>
        </w:rPr>
      </w:pPr>
      <w:r w:rsidRPr="00955DF7">
        <w:rPr>
          <w:rFonts w:ascii="Times New Roman" w:hAnsi="Times New Roman" w:cs="Times New Roman"/>
          <w:b/>
          <w:bCs/>
          <w:sz w:val="24"/>
          <w:szCs w:val="24"/>
          <w:lang/>
        </w:rPr>
        <w:lastRenderedPageBreak/>
        <w:t>Youth unemployment</w:t>
      </w:r>
      <w:r w:rsidRPr="00955DF7">
        <w:rPr>
          <w:rFonts w:ascii="Times New Roman" w:hAnsi="Times New Roman" w:cs="Times New Roman"/>
          <w:sz w:val="24"/>
          <w:szCs w:val="24"/>
          <w:lang/>
        </w:rPr>
        <w:t xml:space="preserve"> also saw a substantial rise in Q1 2025, reaching 21.4%. This is an increase from 16.3% in Q4 2024 and 18.4% in Q1 2024. The consistently higher youth unemployment rate underscores persistent challenges for younger individuals entering the job market. Table ....</w:t>
      </w:r>
    </w:p>
    <w:p w14:paraId="2E43942C" w14:textId="64B493E5" w:rsidR="00F60F5C" w:rsidRPr="00955DF7" w:rsidRDefault="00F60F5C" w:rsidP="00A743A9">
      <w:pPr>
        <w:spacing w:line="360" w:lineRule="auto"/>
        <w:jc w:val="both"/>
        <w:rPr>
          <w:rFonts w:ascii="Times New Roman" w:hAnsi="Times New Roman" w:cs="Times New Roman"/>
          <w:sz w:val="24"/>
          <w:szCs w:val="24"/>
          <w:lang/>
        </w:rPr>
      </w:pPr>
      <w:r w:rsidRPr="00955DF7">
        <w:rPr>
          <w:rFonts w:ascii="Times New Roman" w:hAnsi="Times New Roman" w:cs="Times New Roman"/>
          <w:sz w:val="24"/>
          <w:szCs w:val="24"/>
          <w:lang/>
        </w:rPr>
        <w:t>A closer look reveals that female unemployment grew to 19.1%, more than double the male rate of 9.0%. This suggests that women were disproportionately affected by job losses or had greater difficulty re-entering the workforce</w:t>
      </w:r>
      <w:r w:rsidR="00955DF7" w:rsidRPr="00955DF7">
        <w:rPr>
          <w:rFonts w:ascii="Times New Roman" w:hAnsi="Times New Roman" w:cs="Times New Roman"/>
          <w:sz w:val="24"/>
          <w:szCs w:val="24"/>
          <w:lang/>
        </w:rPr>
        <w:t>,</w:t>
      </w:r>
      <w:r w:rsidRPr="00955DF7">
        <w:rPr>
          <w:rFonts w:ascii="Times New Roman" w:hAnsi="Times New Roman" w:cs="Times New Roman"/>
          <w:sz w:val="24"/>
          <w:szCs w:val="24"/>
          <w:lang/>
        </w:rPr>
        <w:t xml:space="preserve"> such as sectoral vulnerabilities where female employment is concentrated (e.g., clerical or retail roles).</w:t>
      </w:r>
    </w:p>
    <w:p w14:paraId="41543210" w14:textId="22FF073E" w:rsidR="00FB13DF" w:rsidRPr="00955DF7" w:rsidRDefault="00955DF7" w:rsidP="004607C3">
      <w:pPr>
        <w:spacing w:before="100" w:beforeAutospacing="1" w:after="100" w:afterAutospacing="1" w:line="276" w:lineRule="auto"/>
        <w:rPr>
          <w:rFonts w:ascii="Times New Roman" w:eastAsia="Times New Roman" w:hAnsi="Times New Roman" w:cs="Times New Roman"/>
          <w:b/>
          <w:bCs/>
          <w:sz w:val="28"/>
          <w:szCs w:val="28"/>
          <w:lang/>
        </w:rPr>
      </w:pPr>
      <w:r w:rsidRPr="00955DF7">
        <w:rPr>
          <w:rFonts w:ascii="Times New Roman" w:eastAsia="Times New Roman" w:hAnsi="Times New Roman" w:cs="Times New Roman"/>
          <w:b/>
          <w:bCs/>
          <w:sz w:val="28"/>
          <w:szCs w:val="28"/>
          <w:lang/>
        </w:rPr>
        <w:t xml:space="preserve">                                                           </w:t>
      </w:r>
    </w:p>
    <w:p w14:paraId="0C9AE765" w14:textId="63A62C37" w:rsidR="00AD5494" w:rsidRDefault="00A743A9" w:rsidP="00A743A9">
      <w:pPr>
        <w:pStyle w:val="Heading1"/>
        <w:rPr>
          <w:rFonts w:eastAsia="Times New Roman"/>
          <w:b/>
          <w:bCs/>
          <w:sz w:val="28"/>
          <w:szCs w:val="28"/>
        </w:rPr>
      </w:pPr>
      <w:bookmarkStart w:id="7" w:name="_Toc201755042"/>
      <w:r w:rsidRPr="003B0196">
        <w:rPr>
          <w:rFonts w:eastAsia="Times New Roman"/>
          <w:b/>
          <w:bCs/>
          <w:sz w:val="28"/>
          <w:szCs w:val="28"/>
        </w:rPr>
        <w:t>Statistical Output</w:t>
      </w:r>
      <w:bookmarkEnd w:id="7"/>
    </w:p>
    <w:p w14:paraId="23B760C7" w14:textId="66F525A4" w:rsidR="00AD5494" w:rsidRDefault="00AD5494" w:rsidP="0022630A">
      <w:pPr>
        <w:spacing w:line="360" w:lineRule="auto"/>
        <w:jc w:val="both"/>
        <w:rPr>
          <w:rFonts w:ascii="Times New Roman" w:eastAsia="Times New Roman" w:hAnsi="Times New Roman" w:cs="Times New Roman"/>
          <w:sz w:val="24"/>
          <w:szCs w:val="24"/>
        </w:rPr>
      </w:pPr>
      <w:r w:rsidRPr="00955DF7">
        <w:rPr>
          <w:noProof/>
        </w:rPr>
        <mc:AlternateContent>
          <mc:Choice Requires="cx2">
            <w:drawing>
              <wp:inline distT="0" distB="0" distL="0" distR="0" wp14:anchorId="5AF211A9" wp14:editId="11210344">
                <wp:extent cx="4069080" cy="2438400"/>
                <wp:effectExtent l="0" t="0" r="7620" b="0"/>
                <wp:docPr id="1527727374" name="Chart 1">
                  <a:extLst xmlns:a="http://schemas.openxmlformats.org/drawingml/2006/main">
                    <a:ext uri="{FF2B5EF4-FFF2-40B4-BE49-F238E27FC236}">
                      <a16:creationId xmlns:a16="http://schemas.microsoft.com/office/drawing/2014/main" id="{3C214521-B059-69AA-9E6D-D6190426499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5AF211A9" wp14:editId="11210344">
                <wp:extent cx="4069080" cy="2438400"/>
                <wp:effectExtent l="0" t="0" r="7620" b="0"/>
                <wp:docPr id="1527727374" name="Chart 1">
                  <a:extLst xmlns:a="http://schemas.openxmlformats.org/drawingml/2006/main">
                    <a:ext uri="{FF2B5EF4-FFF2-40B4-BE49-F238E27FC236}">
                      <a16:creationId xmlns:a16="http://schemas.microsoft.com/office/drawing/2014/main" id="{3C214521-B059-69AA-9E6D-D6190426499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27727374" name="Chart 1">
                          <a:extLst>
                            <a:ext uri="{FF2B5EF4-FFF2-40B4-BE49-F238E27FC236}">
                              <a16:creationId xmlns:a16="http://schemas.microsoft.com/office/drawing/2014/main" id="{3C214521-B059-69AA-9E6D-D6190426499D}"/>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4069080" cy="2438400"/>
                        </a:xfrm>
                        <a:prstGeom prst="rect">
                          <a:avLst/>
                        </a:prstGeom>
                      </pic:spPr>
                    </pic:pic>
                  </a:graphicData>
                </a:graphic>
              </wp:inline>
            </w:drawing>
          </mc:Fallback>
        </mc:AlternateContent>
      </w:r>
      <w:r>
        <w:rPr>
          <w:rFonts w:ascii="Times New Roman" w:eastAsia="Times New Roman" w:hAnsi="Times New Roman" w:cs="Times New Roman"/>
          <w:sz w:val="24"/>
          <w:szCs w:val="24"/>
        </w:rPr>
        <w:t xml:space="preserve">  </w:t>
      </w:r>
      <w:r w:rsidRPr="00955DF7">
        <w:rPr>
          <w:noProof/>
        </w:rPr>
        <mc:AlternateContent>
          <mc:Choice Requires="cx2">
            <w:drawing>
              <wp:inline distT="0" distB="0" distL="0" distR="0" wp14:anchorId="65B202FB" wp14:editId="639E1EE1">
                <wp:extent cx="4000500" cy="2432050"/>
                <wp:effectExtent l="0" t="0" r="0" b="6350"/>
                <wp:docPr id="1017362405" name="Chart 1">
                  <a:extLst xmlns:a="http://schemas.openxmlformats.org/drawingml/2006/main">
                    <a:ext uri="{FF2B5EF4-FFF2-40B4-BE49-F238E27FC236}">
                      <a16:creationId xmlns:a16="http://schemas.microsoft.com/office/drawing/2014/main" id="{62BFA810-5792-6F0C-7090-1D364F94787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65B202FB" wp14:editId="639E1EE1">
                <wp:extent cx="4000500" cy="2432050"/>
                <wp:effectExtent l="0" t="0" r="0" b="6350"/>
                <wp:docPr id="1017362405" name="Chart 1">
                  <a:extLst xmlns:a="http://schemas.openxmlformats.org/drawingml/2006/main">
                    <a:ext uri="{FF2B5EF4-FFF2-40B4-BE49-F238E27FC236}">
                      <a16:creationId xmlns:a16="http://schemas.microsoft.com/office/drawing/2014/main" id="{62BFA810-5792-6F0C-7090-1D364F94787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17362405" name="Chart 1">
                          <a:extLst>
                            <a:ext uri="{FF2B5EF4-FFF2-40B4-BE49-F238E27FC236}">
                              <a16:creationId xmlns:a16="http://schemas.microsoft.com/office/drawing/2014/main" id="{62BFA810-5792-6F0C-7090-1D364F94787F}"/>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4000500" cy="2432050"/>
                        </a:xfrm>
                        <a:prstGeom prst="rect">
                          <a:avLst/>
                        </a:prstGeom>
                      </pic:spPr>
                    </pic:pic>
                  </a:graphicData>
                </a:graphic>
              </wp:inline>
            </w:drawing>
          </mc:Fallback>
        </mc:AlternateContent>
      </w:r>
    </w:p>
    <w:p w14:paraId="1D880F4C" w14:textId="3B32F1F7" w:rsidR="00AD5494" w:rsidRPr="00AD5494" w:rsidRDefault="00AD5494" w:rsidP="00AD5494">
      <w:pPr>
        <w:spacing w:line="360" w:lineRule="auto"/>
        <w:jc w:val="both"/>
        <w:rPr>
          <w:rFonts w:ascii="Times New Roman" w:hAnsi="Times New Roman" w:cs="Times New Roman"/>
          <w:b/>
          <w:bCs/>
          <w:sz w:val="18"/>
          <w:szCs w:val="18"/>
        </w:rPr>
      </w:pPr>
      <w:r w:rsidRPr="00BB0380">
        <w:rPr>
          <w:rFonts w:ascii="Times New Roman" w:hAnsi="Times New Roman" w:cs="Times New Roman"/>
          <w:b/>
          <w:bCs/>
          <w:i/>
          <w:iCs/>
          <w:sz w:val="18"/>
          <w:szCs w:val="18"/>
        </w:rPr>
        <w:t xml:space="preserve">Figure </w:t>
      </w:r>
      <w:r w:rsidR="00BB12BF" w:rsidRPr="00BB0380">
        <w:rPr>
          <w:rFonts w:ascii="Times New Roman" w:hAnsi="Times New Roman" w:cs="Times New Roman"/>
          <w:b/>
          <w:bCs/>
          <w:i/>
          <w:iCs/>
          <w:sz w:val="18"/>
          <w:szCs w:val="18"/>
        </w:rPr>
        <w:t>5</w:t>
      </w:r>
      <w:r w:rsidRPr="00BB0380">
        <w:rPr>
          <w:rFonts w:ascii="Times New Roman" w:hAnsi="Times New Roman" w:cs="Times New Roman"/>
          <w:b/>
          <w:bCs/>
          <w:i/>
          <w:iCs/>
          <w:sz w:val="18"/>
          <w:szCs w:val="18"/>
        </w:rPr>
        <w:t xml:space="preserve">: Employment Rate Qtr.1 2025                                                                           </w:t>
      </w:r>
      <w:r w:rsidR="00E477EF" w:rsidRPr="00BB0380">
        <w:rPr>
          <w:rFonts w:ascii="Times New Roman" w:hAnsi="Times New Roman" w:cs="Times New Roman"/>
          <w:b/>
          <w:bCs/>
          <w:i/>
          <w:iCs/>
          <w:sz w:val="18"/>
          <w:szCs w:val="18"/>
        </w:rPr>
        <w:t xml:space="preserve">                                </w:t>
      </w:r>
      <w:r w:rsidRPr="00BB0380">
        <w:rPr>
          <w:rFonts w:ascii="Times New Roman" w:hAnsi="Times New Roman" w:cs="Times New Roman"/>
          <w:b/>
          <w:bCs/>
          <w:i/>
          <w:iCs/>
          <w:sz w:val="18"/>
          <w:szCs w:val="18"/>
        </w:rPr>
        <w:t xml:space="preserve"> Figure </w:t>
      </w:r>
      <w:r w:rsidR="00BB12BF" w:rsidRPr="00BB0380">
        <w:rPr>
          <w:rFonts w:ascii="Times New Roman" w:hAnsi="Times New Roman" w:cs="Times New Roman"/>
          <w:b/>
          <w:bCs/>
          <w:i/>
          <w:iCs/>
          <w:sz w:val="18"/>
          <w:szCs w:val="18"/>
        </w:rPr>
        <w:t>6</w:t>
      </w:r>
      <w:r w:rsidRPr="00BB0380">
        <w:rPr>
          <w:rFonts w:ascii="Times New Roman" w:hAnsi="Times New Roman" w:cs="Times New Roman"/>
          <w:b/>
          <w:bCs/>
          <w:i/>
          <w:iCs/>
          <w:sz w:val="18"/>
          <w:szCs w:val="18"/>
        </w:rPr>
        <w:t>: Unemployment Rate Qtr. 1 2025</w:t>
      </w:r>
    </w:p>
    <w:p w14:paraId="0FED54A6" w14:textId="7517CB4C" w:rsidR="00AD5494" w:rsidRDefault="00AD5494" w:rsidP="00AD5494">
      <w:pPr>
        <w:spacing w:line="360" w:lineRule="auto"/>
        <w:jc w:val="center"/>
        <w:rPr>
          <w:rFonts w:ascii="Times New Roman" w:eastAsia="Times New Roman" w:hAnsi="Times New Roman" w:cs="Times New Roman"/>
          <w:sz w:val="24"/>
          <w:szCs w:val="24"/>
        </w:rPr>
      </w:pPr>
      <w:r w:rsidRPr="00955DF7">
        <w:rPr>
          <w:noProof/>
        </w:rPr>
        <w:lastRenderedPageBreak/>
        <mc:AlternateContent>
          <mc:Choice Requires="cx2">
            <w:drawing>
              <wp:inline distT="0" distB="0" distL="0" distR="0" wp14:anchorId="2CDF146D" wp14:editId="298FBD8B">
                <wp:extent cx="4572000" cy="2381250"/>
                <wp:effectExtent l="0" t="0" r="0" b="0"/>
                <wp:docPr id="346072134" name="Chart 1">
                  <a:extLst xmlns:a="http://schemas.openxmlformats.org/drawingml/2006/main">
                    <a:ext uri="{FF2B5EF4-FFF2-40B4-BE49-F238E27FC236}">
                      <a16:creationId xmlns:a16="http://schemas.microsoft.com/office/drawing/2014/main" id="{E4F7909C-F6C3-9A7D-B1B1-95E9F90D7AA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2CDF146D" wp14:editId="298FBD8B">
                <wp:extent cx="4572000" cy="2381250"/>
                <wp:effectExtent l="0" t="0" r="0" b="0"/>
                <wp:docPr id="346072134" name="Chart 1">
                  <a:extLst xmlns:a="http://schemas.openxmlformats.org/drawingml/2006/main">
                    <a:ext uri="{FF2B5EF4-FFF2-40B4-BE49-F238E27FC236}">
                      <a16:creationId xmlns:a16="http://schemas.microsoft.com/office/drawing/2014/main" id="{E4F7909C-F6C3-9A7D-B1B1-95E9F90D7AA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46072134" name="Chart 1">
                          <a:extLst>
                            <a:ext uri="{FF2B5EF4-FFF2-40B4-BE49-F238E27FC236}">
                              <a16:creationId xmlns:a16="http://schemas.microsoft.com/office/drawing/2014/main" id="{E4F7909C-F6C3-9A7D-B1B1-95E9F90D7AA8}"/>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4572000" cy="2381250"/>
                        </a:xfrm>
                        <a:prstGeom prst="rect">
                          <a:avLst/>
                        </a:prstGeom>
                      </pic:spPr>
                    </pic:pic>
                  </a:graphicData>
                </a:graphic>
              </wp:inline>
            </w:drawing>
          </mc:Fallback>
        </mc:AlternateContent>
      </w:r>
    </w:p>
    <w:p w14:paraId="78CE98E5" w14:textId="2A0E993A" w:rsidR="00AD5494" w:rsidRPr="00BB0380" w:rsidRDefault="00C70AC7" w:rsidP="00C70AC7">
      <w:pPr>
        <w:spacing w:line="360" w:lineRule="auto"/>
        <w:rPr>
          <w:rFonts w:ascii="Times New Roman" w:eastAsia="Times New Roman" w:hAnsi="Times New Roman" w:cs="Times New Roman"/>
          <w:i/>
          <w:iCs/>
        </w:rPr>
      </w:pPr>
      <w:r>
        <w:rPr>
          <w:rFonts w:ascii="Times New Roman" w:hAnsi="Times New Roman" w:cs="Times New Roman"/>
          <w:b/>
          <w:bCs/>
          <w:i/>
          <w:iCs/>
          <w:sz w:val="18"/>
          <w:szCs w:val="18"/>
        </w:rPr>
        <w:t xml:space="preserve">                                                                   </w:t>
      </w:r>
      <w:r w:rsidR="00BB0380">
        <w:rPr>
          <w:rFonts w:ascii="Times New Roman" w:hAnsi="Times New Roman" w:cs="Times New Roman"/>
          <w:b/>
          <w:bCs/>
          <w:i/>
          <w:iCs/>
          <w:sz w:val="18"/>
          <w:szCs w:val="18"/>
        </w:rPr>
        <w:t>Figure 7</w:t>
      </w:r>
      <w:r w:rsidR="00AD5494" w:rsidRPr="00BB0380">
        <w:rPr>
          <w:rFonts w:ascii="Times New Roman" w:hAnsi="Times New Roman" w:cs="Times New Roman"/>
          <w:b/>
          <w:bCs/>
          <w:i/>
          <w:iCs/>
          <w:sz w:val="18"/>
          <w:szCs w:val="18"/>
        </w:rPr>
        <w:t xml:space="preserve">: Employment Rate </w:t>
      </w:r>
      <w:r w:rsidR="00BB0380" w:rsidRPr="00BB0380">
        <w:rPr>
          <w:rFonts w:ascii="Times New Roman" w:hAnsi="Times New Roman" w:cs="Times New Roman"/>
          <w:b/>
          <w:bCs/>
          <w:i/>
          <w:iCs/>
          <w:sz w:val="18"/>
          <w:szCs w:val="18"/>
        </w:rPr>
        <w:t>Qtr.</w:t>
      </w:r>
      <w:r w:rsidR="00BB0380">
        <w:rPr>
          <w:rFonts w:ascii="Times New Roman" w:hAnsi="Times New Roman" w:cs="Times New Roman"/>
          <w:b/>
          <w:bCs/>
          <w:i/>
          <w:iCs/>
          <w:sz w:val="18"/>
          <w:szCs w:val="18"/>
        </w:rPr>
        <w:t xml:space="preserve"> </w:t>
      </w:r>
      <w:r w:rsidR="00AD5494" w:rsidRPr="00BB0380">
        <w:rPr>
          <w:rFonts w:ascii="Times New Roman" w:hAnsi="Times New Roman" w:cs="Times New Roman"/>
          <w:b/>
          <w:bCs/>
          <w:i/>
          <w:iCs/>
          <w:sz w:val="18"/>
          <w:szCs w:val="18"/>
        </w:rPr>
        <w:t xml:space="preserve">1 2025                                                                            </w:t>
      </w:r>
    </w:p>
    <w:p w14:paraId="54B7C68F" w14:textId="1311ED37" w:rsidR="00E2165F" w:rsidRDefault="00AD5494" w:rsidP="00C70AC7">
      <w:pPr>
        <w:spacing w:line="360" w:lineRule="auto"/>
        <w:jc w:val="center"/>
        <w:rPr>
          <w:rFonts w:ascii="Times New Roman" w:hAnsi="Times New Roman" w:cs="Times New Roman"/>
          <w:b/>
          <w:bCs/>
          <w:sz w:val="24"/>
          <w:szCs w:val="24"/>
        </w:rPr>
      </w:pPr>
      <w:r w:rsidRPr="00955DF7">
        <w:rPr>
          <w:noProof/>
        </w:rPr>
        <w:drawing>
          <wp:inline distT="0" distB="0" distL="0" distR="0" wp14:anchorId="31C61E3D" wp14:editId="04B2233C">
            <wp:extent cx="6502400" cy="2736850"/>
            <wp:effectExtent l="0" t="0" r="12700" b="6350"/>
            <wp:docPr id="1769731890" name="Chart 1">
              <a:extLst xmlns:a="http://schemas.openxmlformats.org/drawingml/2006/main">
                <a:ext uri="{FF2B5EF4-FFF2-40B4-BE49-F238E27FC236}">
                  <a16:creationId xmlns:a16="http://schemas.microsoft.com/office/drawing/2014/main" id="{B77342AB-A596-6495-0E9B-1F647D607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9DFD52" w14:textId="7E653571" w:rsidR="00AD5494" w:rsidRPr="00BB0380" w:rsidRDefault="00AD5494" w:rsidP="00C70AC7">
      <w:pPr>
        <w:spacing w:line="360" w:lineRule="auto"/>
        <w:jc w:val="center"/>
        <w:rPr>
          <w:rFonts w:ascii="Times New Roman" w:hAnsi="Times New Roman" w:cs="Times New Roman"/>
          <w:i/>
          <w:iCs/>
          <w:sz w:val="24"/>
          <w:szCs w:val="24"/>
          <w:lang/>
        </w:rPr>
      </w:pPr>
      <w:r w:rsidRPr="00BB0380">
        <w:rPr>
          <w:rFonts w:ascii="Times New Roman" w:hAnsi="Times New Roman" w:cs="Times New Roman"/>
          <w:b/>
          <w:bCs/>
          <w:i/>
          <w:iCs/>
          <w:sz w:val="16"/>
          <w:szCs w:val="16"/>
        </w:rPr>
        <w:t xml:space="preserve">Figure </w:t>
      </w:r>
      <w:r w:rsidR="00BB12BF" w:rsidRPr="00BB0380">
        <w:rPr>
          <w:rFonts w:ascii="Times New Roman" w:hAnsi="Times New Roman" w:cs="Times New Roman"/>
          <w:b/>
          <w:bCs/>
          <w:i/>
          <w:iCs/>
          <w:sz w:val="16"/>
          <w:szCs w:val="16"/>
        </w:rPr>
        <w:t>8</w:t>
      </w:r>
      <w:r w:rsidRPr="00BB0380">
        <w:rPr>
          <w:rFonts w:ascii="Times New Roman" w:hAnsi="Times New Roman" w:cs="Times New Roman"/>
          <w:b/>
          <w:bCs/>
          <w:i/>
          <w:iCs/>
          <w:sz w:val="16"/>
          <w:szCs w:val="16"/>
        </w:rPr>
        <w:t xml:space="preserve">: </w:t>
      </w:r>
      <w:r w:rsidRPr="00BB0380">
        <w:rPr>
          <w:rFonts w:ascii="Times New Roman" w:hAnsi="Times New Roman" w:cs="Times New Roman"/>
          <w:b/>
          <w:bCs/>
          <w:i/>
          <w:iCs/>
          <w:sz w:val="16"/>
          <w:szCs w:val="16"/>
          <w:lang/>
        </w:rPr>
        <w:t>Labour Force Participation Rate (LFPR) and Unemployment Rate (UR) of the Working Age Population by Age in SAINT LUCIA</w:t>
      </w:r>
      <w:r w:rsidRPr="00BB0380">
        <w:rPr>
          <w:rFonts w:ascii="Times New Roman" w:hAnsi="Times New Roman" w:cs="Times New Roman"/>
          <w:b/>
          <w:bCs/>
          <w:i/>
          <w:iCs/>
          <w:sz w:val="16"/>
          <w:szCs w:val="16"/>
        </w:rPr>
        <w:t>.</w:t>
      </w:r>
    </w:p>
    <w:p w14:paraId="29D3B3B4" w14:textId="77777777" w:rsidR="006A29ED" w:rsidRDefault="007E5D4F" w:rsidP="00C70AC7">
      <w:pPr>
        <w:spacing w:line="240" w:lineRule="auto"/>
        <w:jc w:val="center"/>
        <w:rPr>
          <w:rFonts w:ascii="Times New Roman" w:hAnsi="Times New Roman" w:cs="Times New Roman"/>
          <w:b/>
          <w:bCs/>
          <w:i/>
          <w:iCs/>
          <w:sz w:val="18"/>
          <w:szCs w:val="18"/>
          <w:lang w:val="fr-FR"/>
        </w:rPr>
      </w:pPr>
      <w:r w:rsidRPr="00955DF7">
        <w:rPr>
          <w:rFonts w:ascii="Times New Roman" w:hAnsi="Times New Roman" w:cs="Times New Roman"/>
          <w:noProof/>
          <w:sz w:val="24"/>
          <w:szCs w:val="24"/>
        </w:rPr>
        <w:lastRenderedPageBreak/>
        <w:drawing>
          <wp:inline distT="0" distB="0" distL="0" distR="0" wp14:anchorId="02BAD579" wp14:editId="24F8C0FC">
            <wp:extent cx="5257800" cy="2152650"/>
            <wp:effectExtent l="0" t="0" r="0" b="0"/>
            <wp:docPr id="218455871" name="Chart 1">
              <a:extLst xmlns:a="http://schemas.openxmlformats.org/drawingml/2006/main">
                <a:ext uri="{FF2B5EF4-FFF2-40B4-BE49-F238E27FC236}">
                  <a16:creationId xmlns:a16="http://schemas.microsoft.com/office/drawing/2014/main" id="{14AEAD98-D811-A73A-3D53-C4CF56AE8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644D6B" w14:textId="3A875714" w:rsidR="006A29ED" w:rsidRPr="00BB0380" w:rsidRDefault="006A29ED" w:rsidP="00C70AC7">
      <w:pPr>
        <w:spacing w:line="240" w:lineRule="auto"/>
        <w:jc w:val="center"/>
        <w:rPr>
          <w:rFonts w:ascii="Times New Roman" w:hAnsi="Times New Roman" w:cs="Times New Roman"/>
          <w:b/>
          <w:bCs/>
          <w:i/>
          <w:iCs/>
          <w:sz w:val="18"/>
          <w:szCs w:val="18"/>
          <w:lang w:val="fr-FR"/>
        </w:rPr>
      </w:pPr>
      <w:r w:rsidRPr="00BB0380">
        <w:rPr>
          <w:rFonts w:ascii="Times New Roman" w:hAnsi="Times New Roman" w:cs="Times New Roman"/>
          <w:b/>
          <w:bCs/>
          <w:i/>
          <w:iCs/>
          <w:sz w:val="18"/>
          <w:szCs w:val="18"/>
          <w:lang w:val="fr-FR"/>
        </w:rPr>
        <w:t xml:space="preserve">Figure </w:t>
      </w:r>
      <w:proofErr w:type="gramStart"/>
      <w:r w:rsidRPr="00BB0380">
        <w:rPr>
          <w:rFonts w:ascii="Times New Roman" w:hAnsi="Times New Roman" w:cs="Times New Roman"/>
          <w:b/>
          <w:bCs/>
          <w:i/>
          <w:iCs/>
          <w:sz w:val="18"/>
          <w:szCs w:val="18"/>
          <w:lang w:val="fr-FR"/>
        </w:rPr>
        <w:t>9:</w:t>
      </w:r>
      <w:proofErr w:type="gramEnd"/>
      <w:r w:rsidRPr="00BB0380">
        <w:rPr>
          <w:rFonts w:ascii="Times New Roman" w:hAnsi="Times New Roman" w:cs="Times New Roman"/>
          <w:b/>
          <w:bCs/>
          <w:i/>
          <w:iCs/>
          <w:sz w:val="18"/>
          <w:szCs w:val="18"/>
          <w:lang w:val="fr-FR"/>
        </w:rPr>
        <w:t xml:space="preserve"> </w:t>
      </w:r>
      <w:proofErr w:type="spellStart"/>
      <w:r w:rsidRPr="00BB0380">
        <w:rPr>
          <w:rFonts w:ascii="Times New Roman" w:hAnsi="Times New Roman" w:cs="Times New Roman"/>
          <w:b/>
          <w:bCs/>
          <w:i/>
          <w:iCs/>
          <w:sz w:val="18"/>
          <w:szCs w:val="18"/>
          <w:lang w:val="fr-FR"/>
        </w:rPr>
        <w:t>Employed</w:t>
      </w:r>
      <w:proofErr w:type="spellEnd"/>
      <w:r w:rsidRPr="00BB0380">
        <w:rPr>
          <w:rFonts w:ascii="Times New Roman" w:hAnsi="Times New Roman" w:cs="Times New Roman"/>
          <w:b/>
          <w:bCs/>
          <w:i/>
          <w:iCs/>
          <w:sz w:val="18"/>
          <w:szCs w:val="18"/>
          <w:lang w:val="fr-FR"/>
        </w:rPr>
        <w:t xml:space="preserve"> Labour Force by Occupation Group Over Quarter</w:t>
      </w:r>
    </w:p>
    <w:p w14:paraId="7D47DF48" w14:textId="1CFAEB86" w:rsidR="007E5D4F" w:rsidRPr="00955DF7" w:rsidRDefault="006A29ED" w:rsidP="00C70AC7">
      <w:pPr>
        <w:spacing w:line="240" w:lineRule="auto"/>
        <w:jc w:val="center"/>
        <w:rPr>
          <w:rFonts w:ascii="Times New Roman" w:hAnsi="Times New Roman" w:cs="Times New Roman"/>
          <w:b/>
          <w:bCs/>
          <w:sz w:val="20"/>
          <w:szCs w:val="20"/>
          <w:lang/>
        </w:rPr>
      </w:pPr>
      <w:r>
        <w:rPr>
          <w:noProof/>
        </w:rPr>
        <mc:AlternateContent>
          <mc:Choice Requires="cx4">
            <w:drawing>
              <wp:inline distT="0" distB="0" distL="0" distR="0" wp14:anchorId="40D6D79B" wp14:editId="376AA5A9">
                <wp:extent cx="5889625" cy="2984500"/>
                <wp:effectExtent l="0" t="0" r="15875" b="6350"/>
                <wp:docPr id="216811904" name="Chart 1">
                  <a:extLst xmlns:a="http://schemas.openxmlformats.org/drawingml/2006/main">
                    <a:ext uri="{FF2B5EF4-FFF2-40B4-BE49-F238E27FC236}">
                      <a16:creationId xmlns:a16="http://schemas.microsoft.com/office/drawing/2014/main" id="{649E00DC-EEFE-7FB8-48DB-30214B44D8C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w:drawing>
              <wp:inline distT="0" distB="0" distL="0" distR="0" wp14:anchorId="40D6D79B" wp14:editId="376AA5A9">
                <wp:extent cx="5889625" cy="2984500"/>
                <wp:effectExtent l="0" t="0" r="15875" b="6350"/>
                <wp:docPr id="216811904" name="Chart 1">
                  <a:extLst xmlns:a="http://schemas.openxmlformats.org/drawingml/2006/main">
                    <a:ext uri="{FF2B5EF4-FFF2-40B4-BE49-F238E27FC236}">
                      <a16:creationId xmlns:a16="http://schemas.microsoft.com/office/drawing/2014/main" id="{649E00DC-EEFE-7FB8-48DB-30214B44D8C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6811904" name="Chart 1">
                          <a:extLst>
                            <a:ext uri="{FF2B5EF4-FFF2-40B4-BE49-F238E27FC236}">
                              <a16:creationId xmlns:a16="http://schemas.microsoft.com/office/drawing/2014/main" id="{649E00DC-EEFE-7FB8-48DB-30214B44D8CD}"/>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5889625" cy="2984500"/>
                        </a:xfrm>
                        <a:prstGeom prst="rect">
                          <a:avLst/>
                        </a:prstGeom>
                      </pic:spPr>
                    </pic:pic>
                  </a:graphicData>
                </a:graphic>
              </wp:inline>
            </w:drawing>
          </mc:Fallback>
        </mc:AlternateContent>
      </w:r>
    </w:p>
    <w:p w14:paraId="494DD00E" w14:textId="2B573799" w:rsidR="007E5D4F" w:rsidRPr="00BB0380" w:rsidRDefault="00C70AC7" w:rsidP="00BB0380">
      <w:pPr>
        <w:spacing w:line="240" w:lineRule="auto"/>
        <w:rPr>
          <w:rFonts w:ascii="Times New Roman" w:hAnsi="Times New Roman" w:cs="Times New Roman"/>
          <w:b/>
          <w:bCs/>
          <w:i/>
          <w:iCs/>
          <w:sz w:val="18"/>
          <w:szCs w:val="18"/>
          <w:lang w:val="fr-FR"/>
        </w:rPr>
      </w:pPr>
      <w:bookmarkStart w:id="8" w:name="_Hlk201754207"/>
      <w:r>
        <w:rPr>
          <w:rFonts w:ascii="Times New Roman" w:hAnsi="Times New Roman" w:cs="Times New Roman"/>
          <w:b/>
          <w:bCs/>
          <w:i/>
          <w:iCs/>
          <w:sz w:val="18"/>
          <w:szCs w:val="18"/>
          <w:lang w:val="fr-FR"/>
        </w:rPr>
        <w:t xml:space="preserve">                                          </w:t>
      </w:r>
      <w:r w:rsidR="006A29ED" w:rsidRPr="006A29ED">
        <w:rPr>
          <w:rFonts w:ascii="Times New Roman" w:hAnsi="Times New Roman" w:cs="Times New Roman"/>
          <w:b/>
          <w:bCs/>
          <w:i/>
          <w:iCs/>
          <w:sz w:val="18"/>
          <w:szCs w:val="18"/>
          <w:lang w:val="fr-FR"/>
        </w:rPr>
        <w:t xml:space="preserve">Figure </w:t>
      </w:r>
      <w:proofErr w:type="gramStart"/>
      <w:r w:rsidR="006A29ED">
        <w:rPr>
          <w:rFonts w:ascii="Times New Roman" w:hAnsi="Times New Roman" w:cs="Times New Roman"/>
          <w:b/>
          <w:bCs/>
          <w:i/>
          <w:iCs/>
          <w:sz w:val="18"/>
          <w:szCs w:val="18"/>
          <w:lang w:val="fr-FR"/>
        </w:rPr>
        <w:t>10</w:t>
      </w:r>
      <w:r w:rsidR="006A29ED" w:rsidRPr="006A29ED">
        <w:rPr>
          <w:rFonts w:ascii="Times New Roman" w:hAnsi="Times New Roman" w:cs="Times New Roman"/>
          <w:b/>
          <w:bCs/>
          <w:i/>
          <w:iCs/>
          <w:sz w:val="18"/>
          <w:szCs w:val="18"/>
          <w:lang w:val="fr-FR"/>
        </w:rPr>
        <w:t>:</w:t>
      </w:r>
      <w:proofErr w:type="gramEnd"/>
      <w:r w:rsidR="006A29ED" w:rsidRPr="006A29ED">
        <w:rPr>
          <w:rFonts w:ascii="Times New Roman" w:hAnsi="Times New Roman" w:cs="Times New Roman"/>
          <w:b/>
          <w:bCs/>
          <w:i/>
          <w:iCs/>
          <w:sz w:val="18"/>
          <w:szCs w:val="18"/>
          <w:lang w:val="fr-FR"/>
        </w:rPr>
        <w:t xml:space="preserve"> </w:t>
      </w:r>
      <w:proofErr w:type="spellStart"/>
      <w:r w:rsidR="006A29ED" w:rsidRPr="006A29ED">
        <w:rPr>
          <w:rFonts w:ascii="Times New Roman" w:hAnsi="Times New Roman" w:cs="Times New Roman"/>
          <w:b/>
          <w:bCs/>
          <w:i/>
          <w:iCs/>
          <w:sz w:val="18"/>
          <w:szCs w:val="18"/>
          <w:lang w:val="fr-FR"/>
        </w:rPr>
        <w:t>Unemployed</w:t>
      </w:r>
      <w:proofErr w:type="spellEnd"/>
      <w:r w:rsidR="006A29ED" w:rsidRPr="006A29ED">
        <w:rPr>
          <w:rFonts w:ascii="Times New Roman" w:hAnsi="Times New Roman" w:cs="Times New Roman"/>
          <w:b/>
          <w:bCs/>
          <w:i/>
          <w:iCs/>
          <w:sz w:val="18"/>
          <w:szCs w:val="18"/>
          <w:lang w:val="fr-FR"/>
        </w:rPr>
        <w:t xml:space="preserve"> Labour Force Rates By District Of </w:t>
      </w:r>
      <w:proofErr w:type="spellStart"/>
      <w:r w:rsidR="006A29ED" w:rsidRPr="006A29ED">
        <w:rPr>
          <w:rFonts w:ascii="Times New Roman" w:hAnsi="Times New Roman" w:cs="Times New Roman"/>
          <w:b/>
          <w:bCs/>
          <w:i/>
          <w:iCs/>
          <w:sz w:val="18"/>
          <w:szCs w:val="18"/>
          <w:lang w:val="fr-FR"/>
        </w:rPr>
        <w:t>Residence</w:t>
      </w:r>
      <w:proofErr w:type="spellEnd"/>
      <w:r w:rsidR="006A29ED" w:rsidRPr="006A29ED">
        <w:rPr>
          <w:rFonts w:ascii="Times New Roman" w:hAnsi="Times New Roman" w:cs="Times New Roman"/>
          <w:b/>
          <w:bCs/>
          <w:i/>
          <w:iCs/>
          <w:sz w:val="18"/>
          <w:szCs w:val="18"/>
          <w:lang w:val="fr-FR"/>
        </w:rPr>
        <w:t xml:space="preserve"> 1st </w:t>
      </w:r>
      <w:proofErr w:type="spellStart"/>
      <w:r w:rsidR="006A29ED" w:rsidRPr="006A29ED">
        <w:rPr>
          <w:rFonts w:ascii="Times New Roman" w:hAnsi="Times New Roman" w:cs="Times New Roman"/>
          <w:b/>
          <w:bCs/>
          <w:i/>
          <w:iCs/>
          <w:sz w:val="18"/>
          <w:szCs w:val="18"/>
          <w:lang w:val="fr-FR"/>
        </w:rPr>
        <w:t>Qtr</w:t>
      </w:r>
      <w:proofErr w:type="spellEnd"/>
      <w:r w:rsidR="006A29ED" w:rsidRPr="006A29ED">
        <w:rPr>
          <w:rFonts w:ascii="Times New Roman" w:hAnsi="Times New Roman" w:cs="Times New Roman"/>
          <w:b/>
          <w:bCs/>
          <w:i/>
          <w:iCs/>
          <w:sz w:val="18"/>
          <w:szCs w:val="18"/>
          <w:lang w:val="fr-FR"/>
        </w:rPr>
        <w:t xml:space="preserve"> 2025</w:t>
      </w:r>
    </w:p>
    <w:bookmarkEnd w:id="8"/>
    <w:p w14:paraId="6E637F78" w14:textId="49338F83" w:rsidR="00AD5494" w:rsidRPr="007E5D4F" w:rsidRDefault="00AD5494" w:rsidP="00652102">
      <w:pPr>
        <w:spacing w:line="360" w:lineRule="auto"/>
        <w:rPr>
          <w:rFonts w:ascii="Times New Roman" w:hAnsi="Times New Roman" w:cs="Times New Roman"/>
          <w:b/>
          <w:bCs/>
          <w:sz w:val="24"/>
          <w:szCs w:val="24"/>
          <w:lang w:val="fr-FR"/>
        </w:rPr>
      </w:pPr>
    </w:p>
    <w:sectPr w:rsidR="00AD5494" w:rsidRPr="007E5D4F" w:rsidSect="00F257DD">
      <w:footerReference w:type="default" r:id="rId24"/>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99B99" w14:textId="77777777" w:rsidR="00EC03B9" w:rsidRDefault="00EC03B9" w:rsidP="00B557FA">
      <w:pPr>
        <w:spacing w:after="0" w:line="240" w:lineRule="auto"/>
      </w:pPr>
      <w:r>
        <w:separator/>
      </w:r>
    </w:p>
  </w:endnote>
  <w:endnote w:type="continuationSeparator" w:id="0">
    <w:p w14:paraId="798817BC" w14:textId="77777777" w:rsidR="00EC03B9" w:rsidRDefault="00EC03B9" w:rsidP="00B55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AC72" w14:textId="77777777" w:rsidR="00B557FA" w:rsidRDefault="00B557FA">
    <w:pPr>
      <w:pStyle w:val="Footer"/>
    </w:pPr>
  </w:p>
  <w:p w14:paraId="70282BF1" w14:textId="77777777" w:rsidR="00B557FA" w:rsidRDefault="00B557FA">
    <w:pPr>
      <w:pStyle w:val="Footer"/>
    </w:pPr>
  </w:p>
  <w:p w14:paraId="0E175DCC" w14:textId="77777777" w:rsidR="00B557FA" w:rsidRDefault="00B55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E8F94" w14:textId="77777777" w:rsidR="00EC03B9" w:rsidRDefault="00EC03B9" w:rsidP="00B557FA">
      <w:pPr>
        <w:spacing w:after="0" w:line="240" w:lineRule="auto"/>
      </w:pPr>
      <w:r>
        <w:separator/>
      </w:r>
    </w:p>
  </w:footnote>
  <w:footnote w:type="continuationSeparator" w:id="0">
    <w:p w14:paraId="468816E3" w14:textId="77777777" w:rsidR="00EC03B9" w:rsidRDefault="00EC03B9" w:rsidP="00B55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76D"/>
    <w:multiLevelType w:val="multilevel"/>
    <w:tmpl w:val="0854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54B78"/>
    <w:multiLevelType w:val="hybridMultilevel"/>
    <w:tmpl w:val="6696F0A6"/>
    <w:lvl w:ilvl="0" w:tplc="9D881A4E">
      <w:numFmt w:val="bullet"/>
      <w:lvlText w:val="·"/>
      <w:lvlJc w:val="left"/>
      <w:pPr>
        <w:ind w:left="864" w:hanging="504"/>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2FA67CB"/>
    <w:multiLevelType w:val="multilevel"/>
    <w:tmpl w:val="54DE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611F98"/>
    <w:multiLevelType w:val="multilevel"/>
    <w:tmpl w:val="73AC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C460EB"/>
    <w:multiLevelType w:val="multilevel"/>
    <w:tmpl w:val="AAC0F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4D4C7F"/>
    <w:multiLevelType w:val="multilevel"/>
    <w:tmpl w:val="AE7C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12569"/>
    <w:multiLevelType w:val="multilevel"/>
    <w:tmpl w:val="DC2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1B58F9"/>
    <w:multiLevelType w:val="hybridMultilevel"/>
    <w:tmpl w:val="9BF8FC62"/>
    <w:lvl w:ilvl="0" w:tplc="20000001">
      <w:start w:val="1"/>
      <w:numFmt w:val="bullet"/>
      <w:lvlText w:val=""/>
      <w:lvlJc w:val="left"/>
      <w:pPr>
        <w:ind w:left="1584" w:hanging="504"/>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EA85CB0"/>
    <w:multiLevelType w:val="multilevel"/>
    <w:tmpl w:val="357A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DA65FF"/>
    <w:multiLevelType w:val="multilevel"/>
    <w:tmpl w:val="4BEC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982B0E"/>
    <w:multiLevelType w:val="multilevel"/>
    <w:tmpl w:val="DC38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7357EA"/>
    <w:multiLevelType w:val="multilevel"/>
    <w:tmpl w:val="ECF0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8152CA"/>
    <w:multiLevelType w:val="hybridMultilevel"/>
    <w:tmpl w:val="C61A6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2A2E6B"/>
    <w:multiLevelType w:val="multilevel"/>
    <w:tmpl w:val="0E285B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76027E"/>
    <w:multiLevelType w:val="hybridMultilevel"/>
    <w:tmpl w:val="4014CB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D966432"/>
    <w:multiLevelType w:val="multilevel"/>
    <w:tmpl w:val="3C7E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B606A3"/>
    <w:multiLevelType w:val="hybridMultilevel"/>
    <w:tmpl w:val="B2F28FA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4C145BF8"/>
    <w:multiLevelType w:val="multilevel"/>
    <w:tmpl w:val="0838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6C3B50"/>
    <w:multiLevelType w:val="multilevel"/>
    <w:tmpl w:val="716E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2D67A0"/>
    <w:multiLevelType w:val="multilevel"/>
    <w:tmpl w:val="505C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DD211B"/>
    <w:multiLevelType w:val="hybridMultilevel"/>
    <w:tmpl w:val="A1B076AC"/>
    <w:lvl w:ilvl="0" w:tplc="9D881A4E">
      <w:numFmt w:val="bullet"/>
      <w:lvlText w:val="·"/>
      <w:lvlJc w:val="left"/>
      <w:pPr>
        <w:ind w:left="1584" w:hanging="504"/>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61221CE0"/>
    <w:multiLevelType w:val="multilevel"/>
    <w:tmpl w:val="D7B6D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0B6C31"/>
    <w:multiLevelType w:val="multilevel"/>
    <w:tmpl w:val="C4D2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8160BA"/>
    <w:multiLevelType w:val="multilevel"/>
    <w:tmpl w:val="2918D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C74B2E"/>
    <w:multiLevelType w:val="multilevel"/>
    <w:tmpl w:val="BAA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E11E10"/>
    <w:multiLevelType w:val="multilevel"/>
    <w:tmpl w:val="E0CE04B8"/>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990858"/>
    <w:multiLevelType w:val="multilevel"/>
    <w:tmpl w:val="7BAE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6AE2"/>
    <w:multiLevelType w:val="multilevel"/>
    <w:tmpl w:val="6998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B12AB3"/>
    <w:multiLevelType w:val="multilevel"/>
    <w:tmpl w:val="90D2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2A2C81"/>
    <w:multiLevelType w:val="multilevel"/>
    <w:tmpl w:val="22E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5C05CB"/>
    <w:multiLevelType w:val="multilevel"/>
    <w:tmpl w:val="DEE0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2339926">
    <w:abstractNumId w:val="13"/>
  </w:num>
  <w:num w:numId="2" w16cid:durableId="316500966">
    <w:abstractNumId w:val="2"/>
  </w:num>
  <w:num w:numId="3" w16cid:durableId="1357733709">
    <w:abstractNumId w:val="25"/>
  </w:num>
  <w:num w:numId="4" w16cid:durableId="1882859734">
    <w:abstractNumId w:val="17"/>
  </w:num>
  <w:num w:numId="5" w16cid:durableId="774323345">
    <w:abstractNumId w:val="10"/>
  </w:num>
  <w:num w:numId="6" w16cid:durableId="1097948237">
    <w:abstractNumId w:val="8"/>
  </w:num>
  <w:num w:numId="7" w16cid:durableId="358166969">
    <w:abstractNumId w:val="24"/>
  </w:num>
  <w:num w:numId="8" w16cid:durableId="1385331255">
    <w:abstractNumId w:val="19"/>
  </w:num>
  <w:num w:numId="9" w16cid:durableId="1486779706">
    <w:abstractNumId w:val="23"/>
  </w:num>
  <w:num w:numId="10" w16cid:durableId="64959247">
    <w:abstractNumId w:val="15"/>
  </w:num>
  <w:num w:numId="11" w16cid:durableId="280259570">
    <w:abstractNumId w:val="12"/>
  </w:num>
  <w:num w:numId="12" w16cid:durableId="1771703381">
    <w:abstractNumId w:val="27"/>
  </w:num>
  <w:num w:numId="13" w16cid:durableId="376707479">
    <w:abstractNumId w:val="18"/>
  </w:num>
  <w:num w:numId="14" w16cid:durableId="1927496705">
    <w:abstractNumId w:val="3"/>
  </w:num>
  <w:num w:numId="15" w16cid:durableId="142284600">
    <w:abstractNumId w:val="0"/>
  </w:num>
  <w:num w:numId="16" w16cid:durableId="500120674">
    <w:abstractNumId w:val="11"/>
  </w:num>
  <w:num w:numId="17" w16cid:durableId="1190727862">
    <w:abstractNumId w:val="9"/>
  </w:num>
  <w:num w:numId="18" w16cid:durableId="167869153">
    <w:abstractNumId w:val="28"/>
  </w:num>
  <w:num w:numId="19" w16cid:durableId="26375171">
    <w:abstractNumId w:val="22"/>
  </w:num>
  <w:num w:numId="20" w16cid:durableId="2145393566">
    <w:abstractNumId w:val="6"/>
  </w:num>
  <w:num w:numId="21" w16cid:durableId="2121216764">
    <w:abstractNumId w:val="21"/>
  </w:num>
  <w:num w:numId="22" w16cid:durableId="2023319423">
    <w:abstractNumId w:val="4"/>
  </w:num>
  <w:num w:numId="23" w16cid:durableId="391781967">
    <w:abstractNumId w:val="29"/>
  </w:num>
  <w:num w:numId="24" w16cid:durableId="1760249815">
    <w:abstractNumId w:val="16"/>
  </w:num>
  <w:num w:numId="25" w16cid:durableId="1227181422">
    <w:abstractNumId w:val="14"/>
  </w:num>
  <w:num w:numId="26" w16cid:durableId="2018847381">
    <w:abstractNumId w:val="1"/>
  </w:num>
  <w:num w:numId="27" w16cid:durableId="678577739">
    <w:abstractNumId w:val="5"/>
  </w:num>
  <w:num w:numId="28" w16cid:durableId="1401173464">
    <w:abstractNumId w:val="20"/>
  </w:num>
  <w:num w:numId="29" w16cid:durableId="2141411038">
    <w:abstractNumId w:val="7"/>
  </w:num>
  <w:num w:numId="30" w16cid:durableId="2049719216">
    <w:abstractNumId w:val="26"/>
  </w:num>
  <w:num w:numId="31" w16cid:durableId="130727246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wsTQ2MDM1NrIwNLRU0lEKTi0uzszPAykwqgUA3k0XUCwAAAA="/>
  </w:docVars>
  <w:rsids>
    <w:rsidRoot w:val="003662C8"/>
    <w:rsid w:val="00000239"/>
    <w:rsid w:val="00001E9A"/>
    <w:rsid w:val="00050099"/>
    <w:rsid w:val="00053815"/>
    <w:rsid w:val="00057DF5"/>
    <w:rsid w:val="000619C3"/>
    <w:rsid w:val="00064195"/>
    <w:rsid w:val="00073CC1"/>
    <w:rsid w:val="000974EA"/>
    <w:rsid w:val="000A7F24"/>
    <w:rsid w:val="000B06F4"/>
    <w:rsid w:val="000B48A7"/>
    <w:rsid w:val="000C177B"/>
    <w:rsid w:val="000C288D"/>
    <w:rsid w:val="000C4E74"/>
    <w:rsid w:val="000D3B35"/>
    <w:rsid w:val="000E493A"/>
    <w:rsid w:val="000E7E22"/>
    <w:rsid w:val="00114B63"/>
    <w:rsid w:val="00145333"/>
    <w:rsid w:val="00160A53"/>
    <w:rsid w:val="00162A5D"/>
    <w:rsid w:val="00180C04"/>
    <w:rsid w:val="0018381E"/>
    <w:rsid w:val="00195850"/>
    <w:rsid w:val="001A273A"/>
    <w:rsid w:val="001C6879"/>
    <w:rsid w:val="001E0317"/>
    <w:rsid w:val="001E35D4"/>
    <w:rsid w:val="001E4E0B"/>
    <w:rsid w:val="001F2D2C"/>
    <w:rsid w:val="001F539A"/>
    <w:rsid w:val="0022630A"/>
    <w:rsid w:val="002373B0"/>
    <w:rsid w:val="00245549"/>
    <w:rsid w:val="00247E9F"/>
    <w:rsid w:val="002500C0"/>
    <w:rsid w:val="002665D1"/>
    <w:rsid w:val="00271778"/>
    <w:rsid w:val="002739D3"/>
    <w:rsid w:val="00274066"/>
    <w:rsid w:val="00276540"/>
    <w:rsid w:val="00287363"/>
    <w:rsid w:val="00290659"/>
    <w:rsid w:val="00291C81"/>
    <w:rsid w:val="002B125A"/>
    <w:rsid w:val="002C1625"/>
    <w:rsid w:val="002C3AE5"/>
    <w:rsid w:val="002C7B05"/>
    <w:rsid w:val="002F2B70"/>
    <w:rsid w:val="003017E7"/>
    <w:rsid w:val="00312F42"/>
    <w:rsid w:val="003536FB"/>
    <w:rsid w:val="003572FF"/>
    <w:rsid w:val="003605BE"/>
    <w:rsid w:val="003662C8"/>
    <w:rsid w:val="00387405"/>
    <w:rsid w:val="00397C2D"/>
    <w:rsid w:val="003A1DDA"/>
    <w:rsid w:val="003A7DFE"/>
    <w:rsid w:val="003B0196"/>
    <w:rsid w:val="003B45D1"/>
    <w:rsid w:val="003C117D"/>
    <w:rsid w:val="003C6265"/>
    <w:rsid w:val="003E5C95"/>
    <w:rsid w:val="004009E1"/>
    <w:rsid w:val="004116E7"/>
    <w:rsid w:val="00417227"/>
    <w:rsid w:val="00431296"/>
    <w:rsid w:val="00443097"/>
    <w:rsid w:val="004509C9"/>
    <w:rsid w:val="00452370"/>
    <w:rsid w:val="0045251F"/>
    <w:rsid w:val="00454F2A"/>
    <w:rsid w:val="00455597"/>
    <w:rsid w:val="004607C3"/>
    <w:rsid w:val="00473D15"/>
    <w:rsid w:val="00490D3C"/>
    <w:rsid w:val="00492D0A"/>
    <w:rsid w:val="00496FEA"/>
    <w:rsid w:val="004D15B3"/>
    <w:rsid w:val="004E1D04"/>
    <w:rsid w:val="004E75D8"/>
    <w:rsid w:val="004F7286"/>
    <w:rsid w:val="00513A5A"/>
    <w:rsid w:val="005370F9"/>
    <w:rsid w:val="00556BC1"/>
    <w:rsid w:val="005956D1"/>
    <w:rsid w:val="005B3848"/>
    <w:rsid w:val="005B7FCD"/>
    <w:rsid w:val="005E3146"/>
    <w:rsid w:val="005F4C78"/>
    <w:rsid w:val="00607BCF"/>
    <w:rsid w:val="00623A37"/>
    <w:rsid w:val="00641B32"/>
    <w:rsid w:val="006442F2"/>
    <w:rsid w:val="006447B0"/>
    <w:rsid w:val="00652102"/>
    <w:rsid w:val="006A29ED"/>
    <w:rsid w:val="006A7215"/>
    <w:rsid w:val="006B0C40"/>
    <w:rsid w:val="006C07D5"/>
    <w:rsid w:val="006D04CB"/>
    <w:rsid w:val="006D50E8"/>
    <w:rsid w:val="006F270F"/>
    <w:rsid w:val="006F6CC4"/>
    <w:rsid w:val="00733784"/>
    <w:rsid w:val="00733958"/>
    <w:rsid w:val="0074022D"/>
    <w:rsid w:val="0074403D"/>
    <w:rsid w:val="007459FC"/>
    <w:rsid w:val="00767EB5"/>
    <w:rsid w:val="00793247"/>
    <w:rsid w:val="007C5E06"/>
    <w:rsid w:val="007E5D4F"/>
    <w:rsid w:val="0080378E"/>
    <w:rsid w:val="00804517"/>
    <w:rsid w:val="00807A9B"/>
    <w:rsid w:val="0081411A"/>
    <w:rsid w:val="0082158A"/>
    <w:rsid w:val="00822EEC"/>
    <w:rsid w:val="0083252F"/>
    <w:rsid w:val="00832FE0"/>
    <w:rsid w:val="00842873"/>
    <w:rsid w:val="00844812"/>
    <w:rsid w:val="00891AF9"/>
    <w:rsid w:val="008B1050"/>
    <w:rsid w:val="008B3433"/>
    <w:rsid w:val="008B4E09"/>
    <w:rsid w:val="008D31A1"/>
    <w:rsid w:val="008D6BC9"/>
    <w:rsid w:val="008F6BF1"/>
    <w:rsid w:val="008F7185"/>
    <w:rsid w:val="00900B96"/>
    <w:rsid w:val="00907205"/>
    <w:rsid w:val="009112CC"/>
    <w:rsid w:val="009418F5"/>
    <w:rsid w:val="00946F39"/>
    <w:rsid w:val="00955DF7"/>
    <w:rsid w:val="00956704"/>
    <w:rsid w:val="009727AE"/>
    <w:rsid w:val="00982BC6"/>
    <w:rsid w:val="009B29E9"/>
    <w:rsid w:val="009C0A6E"/>
    <w:rsid w:val="009C3D03"/>
    <w:rsid w:val="009C651F"/>
    <w:rsid w:val="009D384A"/>
    <w:rsid w:val="009D6D84"/>
    <w:rsid w:val="009F7B95"/>
    <w:rsid w:val="00A12A27"/>
    <w:rsid w:val="00A3130E"/>
    <w:rsid w:val="00A33120"/>
    <w:rsid w:val="00A411E9"/>
    <w:rsid w:val="00A42882"/>
    <w:rsid w:val="00A61E57"/>
    <w:rsid w:val="00A743A9"/>
    <w:rsid w:val="00A757D7"/>
    <w:rsid w:val="00A82A99"/>
    <w:rsid w:val="00A9145E"/>
    <w:rsid w:val="00AA4382"/>
    <w:rsid w:val="00AB25AA"/>
    <w:rsid w:val="00AB2EDE"/>
    <w:rsid w:val="00AB3EDE"/>
    <w:rsid w:val="00AD5494"/>
    <w:rsid w:val="00AD67A6"/>
    <w:rsid w:val="00AD7FEA"/>
    <w:rsid w:val="00AE5ADF"/>
    <w:rsid w:val="00AF2B04"/>
    <w:rsid w:val="00AF3BD5"/>
    <w:rsid w:val="00AF52F5"/>
    <w:rsid w:val="00B40EFA"/>
    <w:rsid w:val="00B557FA"/>
    <w:rsid w:val="00B6449E"/>
    <w:rsid w:val="00B65747"/>
    <w:rsid w:val="00B65901"/>
    <w:rsid w:val="00B91474"/>
    <w:rsid w:val="00B957B6"/>
    <w:rsid w:val="00BB0380"/>
    <w:rsid w:val="00BB12BF"/>
    <w:rsid w:val="00BB1C40"/>
    <w:rsid w:val="00BC7E2F"/>
    <w:rsid w:val="00C31AD4"/>
    <w:rsid w:val="00C41846"/>
    <w:rsid w:val="00C46FDD"/>
    <w:rsid w:val="00C54145"/>
    <w:rsid w:val="00C5755B"/>
    <w:rsid w:val="00C63512"/>
    <w:rsid w:val="00C671C7"/>
    <w:rsid w:val="00C70AC7"/>
    <w:rsid w:val="00C8691E"/>
    <w:rsid w:val="00CA17C9"/>
    <w:rsid w:val="00CB2C6B"/>
    <w:rsid w:val="00CB75C8"/>
    <w:rsid w:val="00CC6B9A"/>
    <w:rsid w:val="00CE7F58"/>
    <w:rsid w:val="00D06467"/>
    <w:rsid w:val="00D1284A"/>
    <w:rsid w:val="00D36B38"/>
    <w:rsid w:val="00D461C4"/>
    <w:rsid w:val="00D652CC"/>
    <w:rsid w:val="00D81465"/>
    <w:rsid w:val="00D821B8"/>
    <w:rsid w:val="00D87292"/>
    <w:rsid w:val="00D9074C"/>
    <w:rsid w:val="00D95BAA"/>
    <w:rsid w:val="00DA02A5"/>
    <w:rsid w:val="00DB2149"/>
    <w:rsid w:val="00DB3364"/>
    <w:rsid w:val="00DB5732"/>
    <w:rsid w:val="00DB6CF2"/>
    <w:rsid w:val="00DD1CBA"/>
    <w:rsid w:val="00E104F0"/>
    <w:rsid w:val="00E1576E"/>
    <w:rsid w:val="00E15FC5"/>
    <w:rsid w:val="00E2165F"/>
    <w:rsid w:val="00E26E8A"/>
    <w:rsid w:val="00E36314"/>
    <w:rsid w:val="00E4307B"/>
    <w:rsid w:val="00E477EF"/>
    <w:rsid w:val="00E50D87"/>
    <w:rsid w:val="00E60998"/>
    <w:rsid w:val="00E63765"/>
    <w:rsid w:val="00E644A9"/>
    <w:rsid w:val="00E66C23"/>
    <w:rsid w:val="00E73E1D"/>
    <w:rsid w:val="00E80BFD"/>
    <w:rsid w:val="00EA3A17"/>
    <w:rsid w:val="00EB3E7F"/>
    <w:rsid w:val="00EB4C8A"/>
    <w:rsid w:val="00EC03B9"/>
    <w:rsid w:val="00EC3683"/>
    <w:rsid w:val="00EF6E85"/>
    <w:rsid w:val="00F1262A"/>
    <w:rsid w:val="00F1416B"/>
    <w:rsid w:val="00F15926"/>
    <w:rsid w:val="00F21920"/>
    <w:rsid w:val="00F257DD"/>
    <w:rsid w:val="00F3171C"/>
    <w:rsid w:val="00F56D21"/>
    <w:rsid w:val="00F60F5C"/>
    <w:rsid w:val="00F65694"/>
    <w:rsid w:val="00F865F8"/>
    <w:rsid w:val="00F86A27"/>
    <w:rsid w:val="00F971CE"/>
    <w:rsid w:val="00FA07F2"/>
    <w:rsid w:val="00FB07B3"/>
    <w:rsid w:val="00FB13DF"/>
    <w:rsid w:val="00FF2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664FB9"/>
  <w15:chartTrackingRefBased/>
  <w15:docId w15:val="{B6D07690-D850-4296-A697-3287121FB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2C8"/>
  </w:style>
  <w:style w:type="paragraph" w:styleId="Heading1">
    <w:name w:val="heading 1"/>
    <w:basedOn w:val="Normal"/>
    <w:next w:val="Normal"/>
    <w:link w:val="Heading1Char"/>
    <w:uiPriority w:val="9"/>
    <w:qFormat/>
    <w:rsid w:val="003662C8"/>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3662C8"/>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3662C8"/>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3662C8"/>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3662C8"/>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3662C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3662C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3662C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3662C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2C8"/>
    <w:pPr>
      <w:ind w:left="720"/>
      <w:contextualSpacing/>
    </w:pPr>
  </w:style>
  <w:style w:type="character" w:customStyle="1" w:styleId="Heading1Char">
    <w:name w:val="Heading 1 Char"/>
    <w:basedOn w:val="DefaultParagraphFont"/>
    <w:link w:val="Heading1"/>
    <w:uiPriority w:val="9"/>
    <w:rsid w:val="003662C8"/>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3662C8"/>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3662C8"/>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3662C8"/>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3662C8"/>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3662C8"/>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3662C8"/>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3662C8"/>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3662C8"/>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3662C8"/>
    <w:pPr>
      <w:spacing w:line="240" w:lineRule="auto"/>
    </w:pPr>
    <w:rPr>
      <w:b/>
      <w:bCs/>
      <w:smallCaps/>
      <w:color w:val="595959" w:themeColor="text1" w:themeTint="A6"/>
    </w:rPr>
  </w:style>
  <w:style w:type="paragraph" w:styleId="Title">
    <w:name w:val="Title"/>
    <w:basedOn w:val="Normal"/>
    <w:next w:val="Normal"/>
    <w:link w:val="TitleChar"/>
    <w:uiPriority w:val="10"/>
    <w:qFormat/>
    <w:rsid w:val="003662C8"/>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3662C8"/>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3662C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3662C8"/>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3662C8"/>
    <w:rPr>
      <w:b/>
      <w:bCs/>
    </w:rPr>
  </w:style>
  <w:style w:type="character" w:styleId="Emphasis">
    <w:name w:val="Emphasis"/>
    <w:basedOn w:val="DefaultParagraphFont"/>
    <w:uiPriority w:val="20"/>
    <w:qFormat/>
    <w:rsid w:val="003662C8"/>
    <w:rPr>
      <w:i/>
      <w:iCs/>
    </w:rPr>
  </w:style>
  <w:style w:type="paragraph" w:styleId="NoSpacing">
    <w:name w:val="No Spacing"/>
    <w:link w:val="NoSpacingChar"/>
    <w:uiPriority w:val="1"/>
    <w:qFormat/>
    <w:rsid w:val="003662C8"/>
    <w:pPr>
      <w:spacing w:after="0" w:line="240" w:lineRule="auto"/>
    </w:pPr>
  </w:style>
  <w:style w:type="paragraph" w:styleId="Quote">
    <w:name w:val="Quote"/>
    <w:basedOn w:val="Normal"/>
    <w:next w:val="Normal"/>
    <w:link w:val="QuoteChar"/>
    <w:uiPriority w:val="29"/>
    <w:qFormat/>
    <w:rsid w:val="003662C8"/>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3662C8"/>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3662C8"/>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3662C8"/>
    <w:rPr>
      <w:color w:val="404040" w:themeColor="text1" w:themeTint="BF"/>
      <w:sz w:val="32"/>
      <w:szCs w:val="32"/>
    </w:rPr>
  </w:style>
  <w:style w:type="character" w:styleId="SubtleEmphasis">
    <w:name w:val="Subtle Emphasis"/>
    <w:basedOn w:val="DefaultParagraphFont"/>
    <w:uiPriority w:val="19"/>
    <w:qFormat/>
    <w:rsid w:val="003662C8"/>
    <w:rPr>
      <w:i/>
      <w:iCs/>
      <w:color w:val="595959" w:themeColor="text1" w:themeTint="A6"/>
    </w:rPr>
  </w:style>
  <w:style w:type="character" w:styleId="IntenseEmphasis">
    <w:name w:val="Intense Emphasis"/>
    <w:basedOn w:val="DefaultParagraphFont"/>
    <w:uiPriority w:val="21"/>
    <w:qFormat/>
    <w:rsid w:val="003662C8"/>
    <w:rPr>
      <w:b/>
      <w:bCs/>
      <w:i/>
      <w:iCs/>
    </w:rPr>
  </w:style>
  <w:style w:type="character" w:styleId="SubtleReference">
    <w:name w:val="Subtle Reference"/>
    <w:basedOn w:val="DefaultParagraphFont"/>
    <w:uiPriority w:val="31"/>
    <w:qFormat/>
    <w:rsid w:val="003662C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662C8"/>
    <w:rPr>
      <w:b/>
      <w:bCs/>
      <w:caps w:val="0"/>
      <w:smallCaps/>
      <w:color w:val="auto"/>
      <w:spacing w:val="3"/>
      <w:u w:val="single"/>
    </w:rPr>
  </w:style>
  <w:style w:type="character" w:styleId="BookTitle">
    <w:name w:val="Book Title"/>
    <w:basedOn w:val="DefaultParagraphFont"/>
    <w:uiPriority w:val="33"/>
    <w:qFormat/>
    <w:rsid w:val="003662C8"/>
    <w:rPr>
      <w:b/>
      <w:bCs/>
      <w:smallCaps/>
      <w:spacing w:val="7"/>
    </w:rPr>
  </w:style>
  <w:style w:type="paragraph" w:styleId="TOCHeading">
    <w:name w:val="TOC Heading"/>
    <w:basedOn w:val="Heading1"/>
    <w:next w:val="Normal"/>
    <w:uiPriority w:val="39"/>
    <w:unhideWhenUsed/>
    <w:qFormat/>
    <w:rsid w:val="003662C8"/>
    <w:pPr>
      <w:outlineLvl w:val="9"/>
    </w:pPr>
  </w:style>
  <w:style w:type="character" w:styleId="Hyperlink">
    <w:name w:val="Hyperlink"/>
    <w:basedOn w:val="DefaultParagraphFont"/>
    <w:uiPriority w:val="99"/>
    <w:unhideWhenUsed/>
    <w:rsid w:val="006D04CB"/>
    <w:rPr>
      <w:color w:val="0563C1" w:themeColor="hyperlink"/>
      <w:u w:val="single"/>
    </w:rPr>
  </w:style>
  <w:style w:type="character" w:styleId="UnresolvedMention">
    <w:name w:val="Unresolved Mention"/>
    <w:basedOn w:val="DefaultParagraphFont"/>
    <w:uiPriority w:val="99"/>
    <w:semiHidden/>
    <w:unhideWhenUsed/>
    <w:rsid w:val="006D04CB"/>
    <w:rPr>
      <w:color w:val="605E5C"/>
      <w:shd w:val="clear" w:color="auto" w:fill="E1DFDD"/>
    </w:rPr>
  </w:style>
  <w:style w:type="table" w:styleId="TableGrid">
    <w:name w:val="Table Grid"/>
    <w:basedOn w:val="TableNormal"/>
    <w:uiPriority w:val="39"/>
    <w:rsid w:val="00274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18F5"/>
    <w:rPr>
      <w:rFonts w:ascii="Times New Roman" w:hAnsi="Times New Roman" w:cs="Times New Roman"/>
      <w:sz w:val="24"/>
      <w:szCs w:val="24"/>
    </w:rPr>
  </w:style>
  <w:style w:type="paragraph" w:styleId="Header">
    <w:name w:val="header"/>
    <w:basedOn w:val="Normal"/>
    <w:link w:val="HeaderChar"/>
    <w:uiPriority w:val="99"/>
    <w:unhideWhenUsed/>
    <w:rsid w:val="00B55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7FA"/>
  </w:style>
  <w:style w:type="paragraph" w:styleId="Footer">
    <w:name w:val="footer"/>
    <w:basedOn w:val="Normal"/>
    <w:link w:val="FooterChar"/>
    <w:uiPriority w:val="99"/>
    <w:unhideWhenUsed/>
    <w:rsid w:val="00B55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7FA"/>
  </w:style>
  <w:style w:type="paragraph" w:styleId="TOC1">
    <w:name w:val="toc 1"/>
    <w:basedOn w:val="Normal"/>
    <w:next w:val="Normal"/>
    <w:autoRedefine/>
    <w:uiPriority w:val="39"/>
    <w:unhideWhenUsed/>
    <w:rsid w:val="00B557FA"/>
    <w:pPr>
      <w:spacing w:after="100"/>
    </w:pPr>
  </w:style>
  <w:style w:type="character" w:customStyle="1" w:styleId="uv3um">
    <w:name w:val="uv3um"/>
    <w:basedOn w:val="DefaultParagraphFont"/>
    <w:rsid w:val="005B7FCD"/>
  </w:style>
  <w:style w:type="paragraph" w:styleId="EndnoteText">
    <w:name w:val="endnote text"/>
    <w:basedOn w:val="Normal"/>
    <w:link w:val="EndnoteTextChar"/>
    <w:uiPriority w:val="99"/>
    <w:semiHidden/>
    <w:unhideWhenUsed/>
    <w:rsid w:val="005F4C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4C78"/>
    <w:rPr>
      <w:sz w:val="20"/>
      <w:szCs w:val="20"/>
    </w:rPr>
  </w:style>
  <w:style w:type="character" w:styleId="EndnoteReference">
    <w:name w:val="endnote reference"/>
    <w:basedOn w:val="DefaultParagraphFont"/>
    <w:uiPriority w:val="99"/>
    <w:semiHidden/>
    <w:unhideWhenUsed/>
    <w:rsid w:val="005F4C78"/>
    <w:rPr>
      <w:vertAlign w:val="superscript"/>
    </w:rPr>
  </w:style>
  <w:style w:type="paragraph" w:styleId="FootnoteText">
    <w:name w:val="footnote text"/>
    <w:basedOn w:val="Normal"/>
    <w:link w:val="FootnoteTextChar"/>
    <w:uiPriority w:val="99"/>
    <w:semiHidden/>
    <w:unhideWhenUsed/>
    <w:rsid w:val="004E1D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D04"/>
    <w:rPr>
      <w:sz w:val="20"/>
      <w:szCs w:val="20"/>
    </w:rPr>
  </w:style>
  <w:style w:type="character" w:styleId="FootnoteReference">
    <w:name w:val="footnote reference"/>
    <w:basedOn w:val="DefaultParagraphFont"/>
    <w:uiPriority w:val="99"/>
    <w:semiHidden/>
    <w:unhideWhenUsed/>
    <w:rsid w:val="004E1D04"/>
    <w:rPr>
      <w:vertAlign w:val="superscript"/>
    </w:rPr>
  </w:style>
  <w:style w:type="character" w:customStyle="1" w:styleId="NoSpacingChar">
    <w:name w:val="No Spacing Char"/>
    <w:basedOn w:val="DefaultParagraphFont"/>
    <w:link w:val="NoSpacing"/>
    <w:uiPriority w:val="1"/>
    <w:rsid w:val="00A411E9"/>
  </w:style>
  <w:style w:type="character" w:styleId="CommentReference">
    <w:name w:val="annotation reference"/>
    <w:basedOn w:val="DefaultParagraphFont"/>
    <w:uiPriority w:val="99"/>
    <w:semiHidden/>
    <w:unhideWhenUsed/>
    <w:rsid w:val="00496FEA"/>
    <w:rPr>
      <w:sz w:val="16"/>
      <w:szCs w:val="16"/>
    </w:rPr>
  </w:style>
  <w:style w:type="paragraph" w:styleId="CommentText">
    <w:name w:val="annotation text"/>
    <w:basedOn w:val="Normal"/>
    <w:link w:val="CommentTextChar"/>
    <w:uiPriority w:val="99"/>
    <w:semiHidden/>
    <w:unhideWhenUsed/>
    <w:rsid w:val="00496FEA"/>
    <w:pPr>
      <w:spacing w:line="240" w:lineRule="auto"/>
    </w:pPr>
    <w:rPr>
      <w:sz w:val="20"/>
      <w:szCs w:val="20"/>
    </w:rPr>
  </w:style>
  <w:style w:type="character" w:customStyle="1" w:styleId="CommentTextChar">
    <w:name w:val="Comment Text Char"/>
    <w:basedOn w:val="DefaultParagraphFont"/>
    <w:link w:val="CommentText"/>
    <w:uiPriority w:val="99"/>
    <w:semiHidden/>
    <w:rsid w:val="00496FEA"/>
    <w:rPr>
      <w:sz w:val="20"/>
      <w:szCs w:val="20"/>
    </w:rPr>
  </w:style>
  <w:style w:type="paragraph" w:styleId="CommentSubject">
    <w:name w:val="annotation subject"/>
    <w:basedOn w:val="CommentText"/>
    <w:next w:val="CommentText"/>
    <w:link w:val="CommentSubjectChar"/>
    <w:uiPriority w:val="99"/>
    <w:semiHidden/>
    <w:unhideWhenUsed/>
    <w:rsid w:val="00496FEA"/>
    <w:rPr>
      <w:b/>
      <w:bCs/>
    </w:rPr>
  </w:style>
  <w:style w:type="character" w:customStyle="1" w:styleId="CommentSubjectChar">
    <w:name w:val="Comment Subject Char"/>
    <w:basedOn w:val="CommentTextChar"/>
    <w:link w:val="CommentSubject"/>
    <w:uiPriority w:val="99"/>
    <w:semiHidden/>
    <w:rsid w:val="00496FEA"/>
    <w:rPr>
      <w:b/>
      <w:bCs/>
      <w:sz w:val="20"/>
      <w:szCs w:val="20"/>
    </w:rPr>
  </w:style>
  <w:style w:type="table" w:customStyle="1" w:styleId="TableGrid1">
    <w:name w:val="Table Grid1"/>
    <w:basedOn w:val="TableNormal"/>
    <w:next w:val="TableGrid"/>
    <w:uiPriority w:val="39"/>
    <w:rsid w:val="00DD1C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00">
      <w:bodyDiv w:val="1"/>
      <w:marLeft w:val="0"/>
      <w:marRight w:val="0"/>
      <w:marTop w:val="0"/>
      <w:marBottom w:val="0"/>
      <w:divBdr>
        <w:top w:val="none" w:sz="0" w:space="0" w:color="auto"/>
        <w:left w:val="none" w:sz="0" w:space="0" w:color="auto"/>
        <w:bottom w:val="none" w:sz="0" w:space="0" w:color="auto"/>
        <w:right w:val="none" w:sz="0" w:space="0" w:color="auto"/>
      </w:divBdr>
    </w:div>
    <w:div w:id="862555">
      <w:bodyDiv w:val="1"/>
      <w:marLeft w:val="0"/>
      <w:marRight w:val="0"/>
      <w:marTop w:val="0"/>
      <w:marBottom w:val="0"/>
      <w:divBdr>
        <w:top w:val="none" w:sz="0" w:space="0" w:color="auto"/>
        <w:left w:val="none" w:sz="0" w:space="0" w:color="auto"/>
        <w:bottom w:val="none" w:sz="0" w:space="0" w:color="auto"/>
        <w:right w:val="none" w:sz="0" w:space="0" w:color="auto"/>
      </w:divBdr>
    </w:div>
    <w:div w:id="32655267">
      <w:bodyDiv w:val="1"/>
      <w:marLeft w:val="0"/>
      <w:marRight w:val="0"/>
      <w:marTop w:val="0"/>
      <w:marBottom w:val="0"/>
      <w:divBdr>
        <w:top w:val="none" w:sz="0" w:space="0" w:color="auto"/>
        <w:left w:val="none" w:sz="0" w:space="0" w:color="auto"/>
        <w:bottom w:val="none" w:sz="0" w:space="0" w:color="auto"/>
        <w:right w:val="none" w:sz="0" w:space="0" w:color="auto"/>
      </w:divBdr>
    </w:div>
    <w:div w:id="34013519">
      <w:bodyDiv w:val="1"/>
      <w:marLeft w:val="0"/>
      <w:marRight w:val="0"/>
      <w:marTop w:val="0"/>
      <w:marBottom w:val="0"/>
      <w:divBdr>
        <w:top w:val="none" w:sz="0" w:space="0" w:color="auto"/>
        <w:left w:val="none" w:sz="0" w:space="0" w:color="auto"/>
        <w:bottom w:val="none" w:sz="0" w:space="0" w:color="auto"/>
        <w:right w:val="none" w:sz="0" w:space="0" w:color="auto"/>
      </w:divBdr>
    </w:div>
    <w:div w:id="50614858">
      <w:bodyDiv w:val="1"/>
      <w:marLeft w:val="0"/>
      <w:marRight w:val="0"/>
      <w:marTop w:val="0"/>
      <w:marBottom w:val="0"/>
      <w:divBdr>
        <w:top w:val="none" w:sz="0" w:space="0" w:color="auto"/>
        <w:left w:val="none" w:sz="0" w:space="0" w:color="auto"/>
        <w:bottom w:val="none" w:sz="0" w:space="0" w:color="auto"/>
        <w:right w:val="none" w:sz="0" w:space="0" w:color="auto"/>
      </w:divBdr>
    </w:div>
    <w:div w:id="51538295">
      <w:bodyDiv w:val="1"/>
      <w:marLeft w:val="0"/>
      <w:marRight w:val="0"/>
      <w:marTop w:val="0"/>
      <w:marBottom w:val="0"/>
      <w:divBdr>
        <w:top w:val="none" w:sz="0" w:space="0" w:color="auto"/>
        <w:left w:val="none" w:sz="0" w:space="0" w:color="auto"/>
        <w:bottom w:val="none" w:sz="0" w:space="0" w:color="auto"/>
        <w:right w:val="none" w:sz="0" w:space="0" w:color="auto"/>
      </w:divBdr>
    </w:div>
    <w:div w:id="74473558">
      <w:bodyDiv w:val="1"/>
      <w:marLeft w:val="0"/>
      <w:marRight w:val="0"/>
      <w:marTop w:val="0"/>
      <w:marBottom w:val="0"/>
      <w:divBdr>
        <w:top w:val="none" w:sz="0" w:space="0" w:color="auto"/>
        <w:left w:val="none" w:sz="0" w:space="0" w:color="auto"/>
        <w:bottom w:val="none" w:sz="0" w:space="0" w:color="auto"/>
        <w:right w:val="none" w:sz="0" w:space="0" w:color="auto"/>
      </w:divBdr>
    </w:div>
    <w:div w:id="82529374">
      <w:bodyDiv w:val="1"/>
      <w:marLeft w:val="0"/>
      <w:marRight w:val="0"/>
      <w:marTop w:val="0"/>
      <w:marBottom w:val="0"/>
      <w:divBdr>
        <w:top w:val="none" w:sz="0" w:space="0" w:color="auto"/>
        <w:left w:val="none" w:sz="0" w:space="0" w:color="auto"/>
        <w:bottom w:val="none" w:sz="0" w:space="0" w:color="auto"/>
        <w:right w:val="none" w:sz="0" w:space="0" w:color="auto"/>
      </w:divBdr>
    </w:div>
    <w:div w:id="83963215">
      <w:bodyDiv w:val="1"/>
      <w:marLeft w:val="0"/>
      <w:marRight w:val="0"/>
      <w:marTop w:val="0"/>
      <w:marBottom w:val="0"/>
      <w:divBdr>
        <w:top w:val="none" w:sz="0" w:space="0" w:color="auto"/>
        <w:left w:val="none" w:sz="0" w:space="0" w:color="auto"/>
        <w:bottom w:val="none" w:sz="0" w:space="0" w:color="auto"/>
        <w:right w:val="none" w:sz="0" w:space="0" w:color="auto"/>
      </w:divBdr>
      <w:divsChild>
        <w:div w:id="1916426660">
          <w:marLeft w:val="0"/>
          <w:marRight w:val="0"/>
          <w:marTop w:val="0"/>
          <w:marBottom w:val="0"/>
          <w:divBdr>
            <w:top w:val="none" w:sz="0" w:space="0" w:color="auto"/>
            <w:left w:val="none" w:sz="0" w:space="0" w:color="auto"/>
            <w:bottom w:val="none" w:sz="0" w:space="0" w:color="auto"/>
            <w:right w:val="none" w:sz="0" w:space="0" w:color="auto"/>
          </w:divBdr>
          <w:divsChild>
            <w:div w:id="557128235">
              <w:marLeft w:val="0"/>
              <w:marRight w:val="0"/>
              <w:marTop w:val="0"/>
              <w:marBottom w:val="0"/>
              <w:divBdr>
                <w:top w:val="none" w:sz="0" w:space="0" w:color="auto"/>
                <w:left w:val="none" w:sz="0" w:space="0" w:color="auto"/>
                <w:bottom w:val="none" w:sz="0" w:space="0" w:color="auto"/>
                <w:right w:val="none" w:sz="0" w:space="0" w:color="auto"/>
              </w:divBdr>
              <w:divsChild>
                <w:div w:id="1121457975">
                  <w:marLeft w:val="0"/>
                  <w:marRight w:val="0"/>
                  <w:marTop w:val="0"/>
                  <w:marBottom w:val="0"/>
                  <w:divBdr>
                    <w:top w:val="none" w:sz="0" w:space="0" w:color="auto"/>
                    <w:left w:val="none" w:sz="0" w:space="0" w:color="auto"/>
                    <w:bottom w:val="none" w:sz="0" w:space="0" w:color="auto"/>
                    <w:right w:val="none" w:sz="0" w:space="0" w:color="auto"/>
                  </w:divBdr>
                  <w:divsChild>
                    <w:div w:id="1426262378">
                      <w:marLeft w:val="0"/>
                      <w:marRight w:val="0"/>
                      <w:marTop w:val="0"/>
                      <w:marBottom w:val="0"/>
                      <w:divBdr>
                        <w:top w:val="none" w:sz="0" w:space="0" w:color="auto"/>
                        <w:left w:val="none" w:sz="0" w:space="0" w:color="auto"/>
                        <w:bottom w:val="none" w:sz="0" w:space="0" w:color="auto"/>
                        <w:right w:val="none" w:sz="0" w:space="0" w:color="auto"/>
                      </w:divBdr>
                      <w:divsChild>
                        <w:div w:id="833885731">
                          <w:marLeft w:val="0"/>
                          <w:marRight w:val="0"/>
                          <w:marTop w:val="0"/>
                          <w:marBottom w:val="0"/>
                          <w:divBdr>
                            <w:top w:val="none" w:sz="0" w:space="0" w:color="auto"/>
                            <w:left w:val="none" w:sz="0" w:space="0" w:color="auto"/>
                            <w:bottom w:val="none" w:sz="0" w:space="0" w:color="auto"/>
                            <w:right w:val="none" w:sz="0" w:space="0" w:color="auto"/>
                          </w:divBdr>
                          <w:divsChild>
                            <w:div w:id="828055235">
                              <w:marLeft w:val="0"/>
                              <w:marRight w:val="0"/>
                              <w:marTop w:val="0"/>
                              <w:marBottom w:val="0"/>
                              <w:divBdr>
                                <w:top w:val="none" w:sz="0" w:space="0" w:color="auto"/>
                                <w:left w:val="none" w:sz="0" w:space="0" w:color="auto"/>
                                <w:bottom w:val="none" w:sz="0" w:space="0" w:color="auto"/>
                                <w:right w:val="none" w:sz="0" w:space="0" w:color="auto"/>
                              </w:divBdr>
                              <w:divsChild>
                                <w:div w:id="1745685916">
                                  <w:marLeft w:val="0"/>
                                  <w:marRight w:val="0"/>
                                  <w:marTop w:val="0"/>
                                  <w:marBottom w:val="0"/>
                                  <w:divBdr>
                                    <w:top w:val="none" w:sz="0" w:space="0" w:color="auto"/>
                                    <w:left w:val="none" w:sz="0" w:space="0" w:color="auto"/>
                                    <w:bottom w:val="none" w:sz="0" w:space="0" w:color="auto"/>
                                    <w:right w:val="none" w:sz="0" w:space="0" w:color="auto"/>
                                  </w:divBdr>
                                  <w:divsChild>
                                    <w:div w:id="961808744">
                                      <w:marLeft w:val="0"/>
                                      <w:marRight w:val="0"/>
                                      <w:marTop w:val="0"/>
                                      <w:marBottom w:val="0"/>
                                      <w:divBdr>
                                        <w:top w:val="none" w:sz="0" w:space="0" w:color="auto"/>
                                        <w:left w:val="none" w:sz="0" w:space="0" w:color="auto"/>
                                        <w:bottom w:val="none" w:sz="0" w:space="0" w:color="auto"/>
                                        <w:right w:val="none" w:sz="0" w:space="0" w:color="auto"/>
                                      </w:divBdr>
                                      <w:divsChild>
                                        <w:div w:id="1218514012">
                                          <w:marLeft w:val="0"/>
                                          <w:marRight w:val="0"/>
                                          <w:marTop w:val="0"/>
                                          <w:marBottom w:val="0"/>
                                          <w:divBdr>
                                            <w:top w:val="none" w:sz="0" w:space="0" w:color="auto"/>
                                            <w:left w:val="none" w:sz="0" w:space="0" w:color="auto"/>
                                            <w:bottom w:val="none" w:sz="0" w:space="0" w:color="auto"/>
                                            <w:right w:val="none" w:sz="0" w:space="0" w:color="auto"/>
                                          </w:divBdr>
                                          <w:divsChild>
                                            <w:div w:id="1943299818">
                                              <w:marLeft w:val="0"/>
                                              <w:marRight w:val="0"/>
                                              <w:marTop w:val="0"/>
                                              <w:marBottom w:val="0"/>
                                              <w:divBdr>
                                                <w:top w:val="none" w:sz="0" w:space="0" w:color="auto"/>
                                                <w:left w:val="none" w:sz="0" w:space="0" w:color="auto"/>
                                                <w:bottom w:val="none" w:sz="0" w:space="0" w:color="auto"/>
                                                <w:right w:val="none" w:sz="0" w:space="0" w:color="auto"/>
                                              </w:divBdr>
                                              <w:divsChild>
                                                <w:div w:id="1913809864">
                                                  <w:marLeft w:val="0"/>
                                                  <w:marRight w:val="0"/>
                                                  <w:marTop w:val="0"/>
                                                  <w:marBottom w:val="0"/>
                                                  <w:divBdr>
                                                    <w:top w:val="none" w:sz="0" w:space="0" w:color="auto"/>
                                                    <w:left w:val="none" w:sz="0" w:space="0" w:color="auto"/>
                                                    <w:bottom w:val="none" w:sz="0" w:space="0" w:color="auto"/>
                                                    <w:right w:val="none" w:sz="0" w:space="0" w:color="auto"/>
                                                  </w:divBdr>
                                                  <w:divsChild>
                                                    <w:div w:id="2122064768">
                                                      <w:marLeft w:val="0"/>
                                                      <w:marRight w:val="0"/>
                                                      <w:marTop w:val="0"/>
                                                      <w:marBottom w:val="0"/>
                                                      <w:divBdr>
                                                        <w:top w:val="none" w:sz="0" w:space="0" w:color="auto"/>
                                                        <w:left w:val="none" w:sz="0" w:space="0" w:color="auto"/>
                                                        <w:bottom w:val="none" w:sz="0" w:space="0" w:color="auto"/>
                                                        <w:right w:val="none" w:sz="0" w:space="0" w:color="auto"/>
                                                      </w:divBdr>
                                                      <w:divsChild>
                                                        <w:div w:id="14459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446980">
      <w:bodyDiv w:val="1"/>
      <w:marLeft w:val="0"/>
      <w:marRight w:val="0"/>
      <w:marTop w:val="0"/>
      <w:marBottom w:val="0"/>
      <w:divBdr>
        <w:top w:val="none" w:sz="0" w:space="0" w:color="auto"/>
        <w:left w:val="none" w:sz="0" w:space="0" w:color="auto"/>
        <w:bottom w:val="none" w:sz="0" w:space="0" w:color="auto"/>
        <w:right w:val="none" w:sz="0" w:space="0" w:color="auto"/>
      </w:divBdr>
    </w:div>
    <w:div w:id="122621083">
      <w:bodyDiv w:val="1"/>
      <w:marLeft w:val="0"/>
      <w:marRight w:val="0"/>
      <w:marTop w:val="0"/>
      <w:marBottom w:val="0"/>
      <w:divBdr>
        <w:top w:val="none" w:sz="0" w:space="0" w:color="auto"/>
        <w:left w:val="none" w:sz="0" w:space="0" w:color="auto"/>
        <w:bottom w:val="none" w:sz="0" w:space="0" w:color="auto"/>
        <w:right w:val="none" w:sz="0" w:space="0" w:color="auto"/>
      </w:divBdr>
    </w:div>
    <w:div w:id="132258230">
      <w:bodyDiv w:val="1"/>
      <w:marLeft w:val="0"/>
      <w:marRight w:val="0"/>
      <w:marTop w:val="0"/>
      <w:marBottom w:val="0"/>
      <w:divBdr>
        <w:top w:val="none" w:sz="0" w:space="0" w:color="auto"/>
        <w:left w:val="none" w:sz="0" w:space="0" w:color="auto"/>
        <w:bottom w:val="none" w:sz="0" w:space="0" w:color="auto"/>
        <w:right w:val="none" w:sz="0" w:space="0" w:color="auto"/>
      </w:divBdr>
    </w:div>
    <w:div w:id="164516206">
      <w:bodyDiv w:val="1"/>
      <w:marLeft w:val="0"/>
      <w:marRight w:val="0"/>
      <w:marTop w:val="0"/>
      <w:marBottom w:val="0"/>
      <w:divBdr>
        <w:top w:val="none" w:sz="0" w:space="0" w:color="auto"/>
        <w:left w:val="none" w:sz="0" w:space="0" w:color="auto"/>
        <w:bottom w:val="none" w:sz="0" w:space="0" w:color="auto"/>
        <w:right w:val="none" w:sz="0" w:space="0" w:color="auto"/>
      </w:divBdr>
    </w:div>
    <w:div w:id="181284864">
      <w:bodyDiv w:val="1"/>
      <w:marLeft w:val="0"/>
      <w:marRight w:val="0"/>
      <w:marTop w:val="0"/>
      <w:marBottom w:val="0"/>
      <w:divBdr>
        <w:top w:val="none" w:sz="0" w:space="0" w:color="auto"/>
        <w:left w:val="none" w:sz="0" w:space="0" w:color="auto"/>
        <w:bottom w:val="none" w:sz="0" w:space="0" w:color="auto"/>
        <w:right w:val="none" w:sz="0" w:space="0" w:color="auto"/>
      </w:divBdr>
    </w:div>
    <w:div w:id="195656650">
      <w:bodyDiv w:val="1"/>
      <w:marLeft w:val="0"/>
      <w:marRight w:val="0"/>
      <w:marTop w:val="0"/>
      <w:marBottom w:val="0"/>
      <w:divBdr>
        <w:top w:val="none" w:sz="0" w:space="0" w:color="auto"/>
        <w:left w:val="none" w:sz="0" w:space="0" w:color="auto"/>
        <w:bottom w:val="none" w:sz="0" w:space="0" w:color="auto"/>
        <w:right w:val="none" w:sz="0" w:space="0" w:color="auto"/>
      </w:divBdr>
    </w:div>
    <w:div w:id="197163563">
      <w:bodyDiv w:val="1"/>
      <w:marLeft w:val="0"/>
      <w:marRight w:val="0"/>
      <w:marTop w:val="0"/>
      <w:marBottom w:val="0"/>
      <w:divBdr>
        <w:top w:val="none" w:sz="0" w:space="0" w:color="auto"/>
        <w:left w:val="none" w:sz="0" w:space="0" w:color="auto"/>
        <w:bottom w:val="none" w:sz="0" w:space="0" w:color="auto"/>
        <w:right w:val="none" w:sz="0" w:space="0" w:color="auto"/>
      </w:divBdr>
    </w:div>
    <w:div w:id="230773470">
      <w:bodyDiv w:val="1"/>
      <w:marLeft w:val="0"/>
      <w:marRight w:val="0"/>
      <w:marTop w:val="0"/>
      <w:marBottom w:val="0"/>
      <w:divBdr>
        <w:top w:val="none" w:sz="0" w:space="0" w:color="auto"/>
        <w:left w:val="none" w:sz="0" w:space="0" w:color="auto"/>
        <w:bottom w:val="none" w:sz="0" w:space="0" w:color="auto"/>
        <w:right w:val="none" w:sz="0" w:space="0" w:color="auto"/>
      </w:divBdr>
    </w:div>
    <w:div w:id="256907973">
      <w:bodyDiv w:val="1"/>
      <w:marLeft w:val="0"/>
      <w:marRight w:val="0"/>
      <w:marTop w:val="0"/>
      <w:marBottom w:val="0"/>
      <w:divBdr>
        <w:top w:val="none" w:sz="0" w:space="0" w:color="auto"/>
        <w:left w:val="none" w:sz="0" w:space="0" w:color="auto"/>
        <w:bottom w:val="none" w:sz="0" w:space="0" w:color="auto"/>
        <w:right w:val="none" w:sz="0" w:space="0" w:color="auto"/>
      </w:divBdr>
    </w:div>
    <w:div w:id="370810979">
      <w:bodyDiv w:val="1"/>
      <w:marLeft w:val="0"/>
      <w:marRight w:val="0"/>
      <w:marTop w:val="0"/>
      <w:marBottom w:val="0"/>
      <w:divBdr>
        <w:top w:val="none" w:sz="0" w:space="0" w:color="auto"/>
        <w:left w:val="none" w:sz="0" w:space="0" w:color="auto"/>
        <w:bottom w:val="none" w:sz="0" w:space="0" w:color="auto"/>
        <w:right w:val="none" w:sz="0" w:space="0" w:color="auto"/>
      </w:divBdr>
    </w:div>
    <w:div w:id="375277814">
      <w:bodyDiv w:val="1"/>
      <w:marLeft w:val="0"/>
      <w:marRight w:val="0"/>
      <w:marTop w:val="0"/>
      <w:marBottom w:val="0"/>
      <w:divBdr>
        <w:top w:val="none" w:sz="0" w:space="0" w:color="auto"/>
        <w:left w:val="none" w:sz="0" w:space="0" w:color="auto"/>
        <w:bottom w:val="none" w:sz="0" w:space="0" w:color="auto"/>
        <w:right w:val="none" w:sz="0" w:space="0" w:color="auto"/>
      </w:divBdr>
    </w:div>
    <w:div w:id="444008215">
      <w:bodyDiv w:val="1"/>
      <w:marLeft w:val="0"/>
      <w:marRight w:val="0"/>
      <w:marTop w:val="0"/>
      <w:marBottom w:val="0"/>
      <w:divBdr>
        <w:top w:val="none" w:sz="0" w:space="0" w:color="auto"/>
        <w:left w:val="none" w:sz="0" w:space="0" w:color="auto"/>
        <w:bottom w:val="none" w:sz="0" w:space="0" w:color="auto"/>
        <w:right w:val="none" w:sz="0" w:space="0" w:color="auto"/>
      </w:divBdr>
    </w:div>
    <w:div w:id="465507331">
      <w:bodyDiv w:val="1"/>
      <w:marLeft w:val="0"/>
      <w:marRight w:val="0"/>
      <w:marTop w:val="0"/>
      <w:marBottom w:val="0"/>
      <w:divBdr>
        <w:top w:val="none" w:sz="0" w:space="0" w:color="auto"/>
        <w:left w:val="none" w:sz="0" w:space="0" w:color="auto"/>
        <w:bottom w:val="none" w:sz="0" w:space="0" w:color="auto"/>
        <w:right w:val="none" w:sz="0" w:space="0" w:color="auto"/>
      </w:divBdr>
    </w:div>
    <w:div w:id="493028473">
      <w:bodyDiv w:val="1"/>
      <w:marLeft w:val="0"/>
      <w:marRight w:val="0"/>
      <w:marTop w:val="0"/>
      <w:marBottom w:val="0"/>
      <w:divBdr>
        <w:top w:val="none" w:sz="0" w:space="0" w:color="auto"/>
        <w:left w:val="none" w:sz="0" w:space="0" w:color="auto"/>
        <w:bottom w:val="none" w:sz="0" w:space="0" w:color="auto"/>
        <w:right w:val="none" w:sz="0" w:space="0" w:color="auto"/>
      </w:divBdr>
    </w:div>
    <w:div w:id="509878471">
      <w:bodyDiv w:val="1"/>
      <w:marLeft w:val="0"/>
      <w:marRight w:val="0"/>
      <w:marTop w:val="0"/>
      <w:marBottom w:val="0"/>
      <w:divBdr>
        <w:top w:val="none" w:sz="0" w:space="0" w:color="auto"/>
        <w:left w:val="none" w:sz="0" w:space="0" w:color="auto"/>
        <w:bottom w:val="none" w:sz="0" w:space="0" w:color="auto"/>
        <w:right w:val="none" w:sz="0" w:space="0" w:color="auto"/>
      </w:divBdr>
    </w:div>
    <w:div w:id="536744427">
      <w:bodyDiv w:val="1"/>
      <w:marLeft w:val="0"/>
      <w:marRight w:val="0"/>
      <w:marTop w:val="0"/>
      <w:marBottom w:val="0"/>
      <w:divBdr>
        <w:top w:val="none" w:sz="0" w:space="0" w:color="auto"/>
        <w:left w:val="none" w:sz="0" w:space="0" w:color="auto"/>
        <w:bottom w:val="none" w:sz="0" w:space="0" w:color="auto"/>
        <w:right w:val="none" w:sz="0" w:space="0" w:color="auto"/>
      </w:divBdr>
      <w:divsChild>
        <w:div w:id="728579848">
          <w:marLeft w:val="0"/>
          <w:marRight w:val="0"/>
          <w:marTop w:val="0"/>
          <w:marBottom w:val="0"/>
          <w:divBdr>
            <w:top w:val="none" w:sz="0" w:space="0" w:color="auto"/>
            <w:left w:val="none" w:sz="0" w:space="0" w:color="auto"/>
            <w:bottom w:val="none" w:sz="0" w:space="0" w:color="auto"/>
            <w:right w:val="none" w:sz="0" w:space="0" w:color="auto"/>
          </w:divBdr>
          <w:divsChild>
            <w:div w:id="1167863746">
              <w:marLeft w:val="0"/>
              <w:marRight w:val="0"/>
              <w:marTop w:val="0"/>
              <w:marBottom w:val="0"/>
              <w:divBdr>
                <w:top w:val="none" w:sz="0" w:space="0" w:color="auto"/>
                <w:left w:val="none" w:sz="0" w:space="0" w:color="auto"/>
                <w:bottom w:val="none" w:sz="0" w:space="0" w:color="auto"/>
                <w:right w:val="none" w:sz="0" w:space="0" w:color="auto"/>
              </w:divBdr>
              <w:divsChild>
                <w:div w:id="688219128">
                  <w:marLeft w:val="0"/>
                  <w:marRight w:val="0"/>
                  <w:marTop w:val="0"/>
                  <w:marBottom w:val="0"/>
                  <w:divBdr>
                    <w:top w:val="none" w:sz="0" w:space="0" w:color="auto"/>
                    <w:left w:val="none" w:sz="0" w:space="0" w:color="auto"/>
                    <w:bottom w:val="none" w:sz="0" w:space="0" w:color="auto"/>
                    <w:right w:val="none" w:sz="0" w:space="0" w:color="auto"/>
                  </w:divBdr>
                  <w:divsChild>
                    <w:div w:id="51660039">
                      <w:marLeft w:val="0"/>
                      <w:marRight w:val="0"/>
                      <w:marTop w:val="0"/>
                      <w:marBottom w:val="0"/>
                      <w:divBdr>
                        <w:top w:val="none" w:sz="0" w:space="0" w:color="auto"/>
                        <w:left w:val="none" w:sz="0" w:space="0" w:color="auto"/>
                        <w:bottom w:val="none" w:sz="0" w:space="0" w:color="auto"/>
                        <w:right w:val="none" w:sz="0" w:space="0" w:color="auto"/>
                      </w:divBdr>
                      <w:divsChild>
                        <w:div w:id="1445926430">
                          <w:marLeft w:val="0"/>
                          <w:marRight w:val="0"/>
                          <w:marTop w:val="0"/>
                          <w:marBottom w:val="0"/>
                          <w:divBdr>
                            <w:top w:val="none" w:sz="0" w:space="0" w:color="auto"/>
                            <w:left w:val="none" w:sz="0" w:space="0" w:color="auto"/>
                            <w:bottom w:val="none" w:sz="0" w:space="0" w:color="auto"/>
                            <w:right w:val="none" w:sz="0" w:space="0" w:color="auto"/>
                          </w:divBdr>
                          <w:divsChild>
                            <w:div w:id="1925607831">
                              <w:marLeft w:val="0"/>
                              <w:marRight w:val="0"/>
                              <w:marTop w:val="0"/>
                              <w:marBottom w:val="0"/>
                              <w:divBdr>
                                <w:top w:val="none" w:sz="0" w:space="0" w:color="auto"/>
                                <w:left w:val="none" w:sz="0" w:space="0" w:color="auto"/>
                                <w:bottom w:val="none" w:sz="0" w:space="0" w:color="auto"/>
                                <w:right w:val="none" w:sz="0" w:space="0" w:color="auto"/>
                              </w:divBdr>
                              <w:divsChild>
                                <w:div w:id="954409229">
                                  <w:marLeft w:val="0"/>
                                  <w:marRight w:val="0"/>
                                  <w:marTop w:val="0"/>
                                  <w:marBottom w:val="0"/>
                                  <w:divBdr>
                                    <w:top w:val="none" w:sz="0" w:space="0" w:color="auto"/>
                                    <w:left w:val="none" w:sz="0" w:space="0" w:color="auto"/>
                                    <w:bottom w:val="none" w:sz="0" w:space="0" w:color="auto"/>
                                    <w:right w:val="none" w:sz="0" w:space="0" w:color="auto"/>
                                  </w:divBdr>
                                  <w:divsChild>
                                    <w:div w:id="139821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589042">
      <w:bodyDiv w:val="1"/>
      <w:marLeft w:val="0"/>
      <w:marRight w:val="0"/>
      <w:marTop w:val="0"/>
      <w:marBottom w:val="0"/>
      <w:divBdr>
        <w:top w:val="none" w:sz="0" w:space="0" w:color="auto"/>
        <w:left w:val="none" w:sz="0" w:space="0" w:color="auto"/>
        <w:bottom w:val="none" w:sz="0" w:space="0" w:color="auto"/>
        <w:right w:val="none" w:sz="0" w:space="0" w:color="auto"/>
      </w:divBdr>
    </w:div>
    <w:div w:id="700327093">
      <w:bodyDiv w:val="1"/>
      <w:marLeft w:val="0"/>
      <w:marRight w:val="0"/>
      <w:marTop w:val="0"/>
      <w:marBottom w:val="0"/>
      <w:divBdr>
        <w:top w:val="none" w:sz="0" w:space="0" w:color="auto"/>
        <w:left w:val="none" w:sz="0" w:space="0" w:color="auto"/>
        <w:bottom w:val="none" w:sz="0" w:space="0" w:color="auto"/>
        <w:right w:val="none" w:sz="0" w:space="0" w:color="auto"/>
      </w:divBdr>
    </w:div>
    <w:div w:id="705764231">
      <w:bodyDiv w:val="1"/>
      <w:marLeft w:val="0"/>
      <w:marRight w:val="0"/>
      <w:marTop w:val="0"/>
      <w:marBottom w:val="0"/>
      <w:divBdr>
        <w:top w:val="none" w:sz="0" w:space="0" w:color="auto"/>
        <w:left w:val="none" w:sz="0" w:space="0" w:color="auto"/>
        <w:bottom w:val="none" w:sz="0" w:space="0" w:color="auto"/>
        <w:right w:val="none" w:sz="0" w:space="0" w:color="auto"/>
      </w:divBdr>
    </w:div>
    <w:div w:id="747969615">
      <w:bodyDiv w:val="1"/>
      <w:marLeft w:val="0"/>
      <w:marRight w:val="0"/>
      <w:marTop w:val="0"/>
      <w:marBottom w:val="0"/>
      <w:divBdr>
        <w:top w:val="none" w:sz="0" w:space="0" w:color="auto"/>
        <w:left w:val="none" w:sz="0" w:space="0" w:color="auto"/>
        <w:bottom w:val="none" w:sz="0" w:space="0" w:color="auto"/>
        <w:right w:val="none" w:sz="0" w:space="0" w:color="auto"/>
      </w:divBdr>
    </w:div>
    <w:div w:id="780414516">
      <w:bodyDiv w:val="1"/>
      <w:marLeft w:val="0"/>
      <w:marRight w:val="0"/>
      <w:marTop w:val="0"/>
      <w:marBottom w:val="0"/>
      <w:divBdr>
        <w:top w:val="none" w:sz="0" w:space="0" w:color="auto"/>
        <w:left w:val="none" w:sz="0" w:space="0" w:color="auto"/>
        <w:bottom w:val="none" w:sz="0" w:space="0" w:color="auto"/>
        <w:right w:val="none" w:sz="0" w:space="0" w:color="auto"/>
      </w:divBdr>
    </w:div>
    <w:div w:id="795177752">
      <w:bodyDiv w:val="1"/>
      <w:marLeft w:val="0"/>
      <w:marRight w:val="0"/>
      <w:marTop w:val="0"/>
      <w:marBottom w:val="0"/>
      <w:divBdr>
        <w:top w:val="none" w:sz="0" w:space="0" w:color="auto"/>
        <w:left w:val="none" w:sz="0" w:space="0" w:color="auto"/>
        <w:bottom w:val="none" w:sz="0" w:space="0" w:color="auto"/>
        <w:right w:val="none" w:sz="0" w:space="0" w:color="auto"/>
      </w:divBdr>
      <w:divsChild>
        <w:div w:id="1010984001">
          <w:marLeft w:val="0"/>
          <w:marRight w:val="0"/>
          <w:marTop w:val="0"/>
          <w:marBottom w:val="0"/>
          <w:divBdr>
            <w:top w:val="none" w:sz="0" w:space="0" w:color="auto"/>
            <w:left w:val="none" w:sz="0" w:space="0" w:color="auto"/>
            <w:bottom w:val="none" w:sz="0" w:space="0" w:color="auto"/>
            <w:right w:val="none" w:sz="0" w:space="0" w:color="auto"/>
          </w:divBdr>
          <w:divsChild>
            <w:div w:id="218595218">
              <w:marLeft w:val="0"/>
              <w:marRight w:val="0"/>
              <w:marTop w:val="0"/>
              <w:marBottom w:val="0"/>
              <w:divBdr>
                <w:top w:val="none" w:sz="0" w:space="0" w:color="auto"/>
                <w:left w:val="none" w:sz="0" w:space="0" w:color="auto"/>
                <w:bottom w:val="none" w:sz="0" w:space="0" w:color="auto"/>
                <w:right w:val="none" w:sz="0" w:space="0" w:color="auto"/>
              </w:divBdr>
              <w:divsChild>
                <w:div w:id="1749384194">
                  <w:marLeft w:val="0"/>
                  <w:marRight w:val="0"/>
                  <w:marTop w:val="0"/>
                  <w:marBottom w:val="0"/>
                  <w:divBdr>
                    <w:top w:val="none" w:sz="0" w:space="0" w:color="auto"/>
                    <w:left w:val="none" w:sz="0" w:space="0" w:color="auto"/>
                    <w:bottom w:val="none" w:sz="0" w:space="0" w:color="auto"/>
                    <w:right w:val="none" w:sz="0" w:space="0" w:color="auto"/>
                  </w:divBdr>
                  <w:divsChild>
                    <w:div w:id="769130605">
                      <w:marLeft w:val="0"/>
                      <w:marRight w:val="0"/>
                      <w:marTop w:val="0"/>
                      <w:marBottom w:val="0"/>
                      <w:divBdr>
                        <w:top w:val="none" w:sz="0" w:space="0" w:color="auto"/>
                        <w:left w:val="none" w:sz="0" w:space="0" w:color="auto"/>
                        <w:bottom w:val="none" w:sz="0" w:space="0" w:color="auto"/>
                        <w:right w:val="none" w:sz="0" w:space="0" w:color="auto"/>
                      </w:divBdr>
                      <w:divsChild>
                        <w:div w:id="14492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488">
          <w:marLeft w:val="0"/>
          <w:marRight w:val="0"/>
          <w:marTop w:val="0"/>
          <w:marBottom w:val="0"/>
          <w:divBdr>
            <w:top w:val="none" w:sz="0" w:space="0" w:color="auto"/>
            <w:left w:val="none" w:sz="0" w:space="0" w:color="auto"/>
            <w:bottom w:val="none" w:sz="0" w:space="0" w:color="auto"/>
            <w:right w:val="none" w:sz="0" w:space="0" w:color="auto"/>
          </w:divBdr>
          <w:divsChild>
            <w:div w:id="1133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45145">
      <w:bodyDiv w:val="1"/>
      <w:marLeft w:val="0"/>
      <w:marRight w:val="0"/>
      <w:marTop w:val="0"/>
      <w:marBottom w:val="0"/>
      <w:divBdr>
        <w:top w:val="none" w:sz="0" w:space="0" w:color="auto"/>
        <w:left w:val="none" w:sz="0" w:space="0" w:color="auto"/>
        <w:bottom w:val="none" w:sz="0" w:space="0" w:color="auto"/>
        <w:right w:val="none" w:sz="0" w:space="0" w:color="auto"/>
      </w:divBdr>
    </w:div>
    <w:div w:id="925840916">
      <w:bodyDiv w:val="1"/>
      <w:marLeft w:val="0"/>
      <w:marRight w:val="0"/>
      <w:marTop w:val="0"/>
      <w:marBottom w:val="0"/>
      <w:divBdr>
        <w:top w:val="none" w:sz="0" w:space="0" w:color="auto"/>
        <w:left w:val="none" w:sz="0" w:space="0" w:color="auto"/>
        <w:bottom w:val="none" w:sz="0" w:space="0" w:color="auto"/>
        <w:right w:val="none" w:sz="0" w:space="0" w:color="auto"/>
      </w:divBdr>
    </w:div>
    <w:div w:id="1026444305">
      <w:bodyDiv w:val="1"/>
      <w:marLeft w:val="0"/>
      <w:marRight w:val="0"/>
      <w:marTop w:val="0"/>
      <w:marBottom w:val="0"/>
      <w:divBdr>
        <w:top w:val="none" w:sz="0" w:space="0" w:color="auto"/>
        <w:left w:val="none" w:sz="0" w:space="0" w:color="auto"/>
        <w:bottom w:val="none" w:sz="0" w:space="0" w:color="auto"/>
        <w:right w:val="none" w:sz="0" w:space="0" w:color="auto"/>
      </w:divBdr>
      <w:divsChild>
        <w:div w:id="1593011446">
          <w:marLeft w:val="0"/>
          <w:marRight w:val="0"/>
          <w:marTop w:val="0"/>
          <w:marBottom w:val="0"/>
          <w:divBdr>
            <w:top w:val="none" w:sz="0" w:space="0" w:color="auto"/>
            <w:left w:val="none" w:sz="0" w:space="0" w:color="auto"/>
            <w:bottom w:val="none" w:sz="0" w:space="0" w:color="auto"/>
            <w:right w:val="none" w:sz="0" w:space="0" w:color="auto"/>
          </w:divBdr>
          <w:divsChild>
            <w:div w:id="150097624">
              <w:marLeft w:val="0"/>
              <w:marRight w:val="0"/>
              <w:marTop w:val="0"/>
              <w:marBottom w:val="0"/>
              <w:divBdr>
                <w:top w:val="none" w:sz="0" w:space="0" w:color="auto"/>
                <w:left w:val="none" w:sz="0" w:space="0" w:color="auto"/>
                <w:bottom w:val="none" w:sz="0" w:space="0" w:color="auto"/>
                <w:right w:val="none" w:sz="0" w:space="0" w:color="auto"/>
              </w:divBdr>
              <w:divsChild>
                <w:div w:id="2105370274">
                  <w:marLeft w:val="0"/>
                  <w:marRight w:val="0"/>
                  <w:marTop w:val="0"/>
                  <w:marBottom w:val="0"/>
                  <w:divBdr>
                    <w:top w:val="none" w:sz="0" w:space="0" w:color="auto"/>
                    <w:left w:val="none" w:sz="0" w:space="0" w:color="auto"/>
                    <w:bottom w:val="none" w:sz="0" w:space="0" w:color="auto"/>
                    <w:right w:val="none" w:sz="0" w:space="0" w:color="auto"/>
                  </w:divBdr>
                  <w:divsChild>
                    <w:div w:id="139007831">
                      <w:marLeft w:val="0"/>
                      <w:marRight w:val="0"/>
                      <w:marTop w:val="0"/>
                      <w:marBottom w:val="0"/>
                      <w:divBdr>
                        <w:top w:val="none" w:sz="0" w:space="0" w:color="auto"/>
                        <w:left w:val="none" w:sz="0" w:space="0" w:color="auto"/>
                        <w:bottom w:val="none" w:sz="0" w:space="0" w:color="auto"/>
                        <w:right w:val="none" w:sz="0" w:space="0" w:color="auto"/>
                      </w:divBdr>
                      <w:divsChild>
                        <w:div w:id="410781410">
                          <w:marLeft w:val="0"/>
                          <w:marRight w:val="0"/>
                          <w:marTop w:val="0"/>
                          <w:marBottom w:val="0"/>
                          <w:divBdr>
                            <w:top w:val="none" w:sz="0" w:space="0" w:color="auto"/>
                            <w:left w:val="none" w:sz="0" w:space="0" w:color="auto"/>
                            <w:bottom w:val="none" w:sz="0" w:space="0" w:color="auto"/>
                            <w:right w:val="none" w:sz="0" w:space="0" w:color="auto"/>
                          </w:divBdr>
                          <w:divsChild>
                            <w:div w:id="70540355">
                              <w:marLeft w:val="0"/>
                              <w:marRight w:val="0"/>
                              <w:marTop w:val="0"/>
                              <w:marBottom w:val="0"/>
                              <w:divBdr>
                                <w:top w:val="none" w:sz="0" w:space="0" w:color="auto"/>
                                <w:left w:val="none" w:sz="0" w:space="0" w:color="auto"/>
                                <w:bottom w:val="none" w:sz="0" w:space="0" w:color="auto"/>
                                <w:right w:val="none" w:sz="0" w:space="0" w:color="auto"/>
                              </w:divBdr>
                              <w:divsChild>
                                <w:div w:id="761298419">
                                  <w:marLeft w:val="0"/>
                                  <w:marRight w:val="0"/>
                                  <w:marTop w:val="0"/>
                                  <w:marBottom w:val="0"/>
                                  <w:divBdr>
                                    <w:top w:val="none" w:sz="0" w:space="0" w:color="auto"/>
                                    <w:left w:val="none" w:sz="0" w:space="0" w:color="auto"/>
                                    <w:bottom w:val="none" w:sz="0" w:space="0" w:color="auto"/>
                                    <w:right w:val="none" w:sz="0" w:space="0" w:color="auto"/>
                                  </w:divBdr>
                                  <w:divsChild>
                                    <w:div w:id="8152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061382">
      <w:bodyDiv w:val="1"/>
      <w:marLeft w:val="0"/>
      <w:marRight w:val="0"/>
      <w:marTop w:val="0"/>
      <w:marBottom w:val="0"/>
      <w:divBdr>
        <w:top w:val="none" w:sz="0" w:space="0" w:color="auto"/>
        <w:left w:val="none" w:sz="0" w:space="0" w:color="auto"/>
        <w:bottom w:val="none" w:sz="0" w:space="0" w:color="auto"/>
        <w:right w:val="none" w:sz="0" w:space="0" w:color="auto"/>
      </w:divBdr>
    </w:div>
    <w:div w:id="1060980076">
      <w:bodyDiv w:val="1"/>
      <w:marLeft w:val="0"/>
      <w:marRight w:val="0"/>
      <w:marTop w:val="0"/>
      <w:marBottom w:val="0"/>
      <w:divBdr>
        <w:top w:val="none" w:sz="0" w:space="0" w:color="auto"/>
        <w:left w:val="none" w:sz="0" w:space="0" w:color="auto"/>
        <w:bottom w:val="none" w:sz="0" w:space="0" w:color="auto"/>
        <w:right w:val="none" w:sz="0" w:space="0" w:color="auto"/>
      </w:divBdr>
    </w:div>
    <w:div w:id="1067456081">
      <w:bodyDiv w:val="1"/>
      <w:marLeft w:val="0"/>
      <w:marRight w:val="0"/>
      <w:marTop w:val="0"/>
      <w:marBottom w:val="0"/>
      <w:divBdr>
        <w:top w:val="none" w:sz="0" w:space="0" w:color="auto"/>
        <w:left w:val="none" w:sz="0" w:space="0" w:color="auto"/>
        <w:bottom w:val="none" w:sz="0" w:space="0" w:color="auto"/>
        <w:right w:val="none" w:sz="0" w:space="0" w:color="auto"/>
      </w:divBdr>
      <w:divsChild>
        <w:div w:id="1492794897">
          <w:marLeft w:val="0"/>
          <w:marRight w:val="0"/>
          <w:marTop w:val="0"/>
          <w:marBottom w:val="0"/>
          <w:divBdr>
            <w:top w:val="none" w:sz="0" w:space="0" w:color="auto"/>
            <w:left w:val="none" w:sz="0" w:space="0" w:color="auto"/>
            <w:bottom w:val="none" w:sz="0" w:space="0" w:color="auto"/>
            <w:right w:val="none" w:sz="0" w:space="0" w:color="auto"/>
          </w:divBdr>
          <w:divsChild>
            <w:div w:id="1012073554">
              <w:marLeft w:val="0"/>
              <w:marRight w:val="0"/>
              <w:marTop w:val="0"/>
              <w:marBottom w:val="0"/>
              <w:divBdr>
                <w:top w:val="none" w:sz="0" w:space="0" w:color="auto"/>
                <w:left w:val="none" w:sz="0" w:space="0" w:color="auto"/>
                <w:bottom w:val="none" w:sz="0" w:space="0" w:color="auto"/>
                <w:right w:val="none" w:sz="0" w:space="0" w:color="auto"/>
              </w:divBdr>
              <w:divsChild>
                <w:div w:id="276183326">
                  <w:marLeft w:val="0"/>
                  <w:marRight w:val="0"/>
                  <w:marTop w:val="0"/>
                  <w:marBottom w:val="0"/>
                  <w:divBdr>
                    <w:top w:val="none" w:sz="0" w:space="0" w:color="auto"/>
                    <w:left w:val="none" w:sz="0" w:space="0" w:color="auto"/>
                    <w:bottom w:val="none" w:sz="0" w:space="0" w:color="auto"/>
                    <w:right w:val="none" w:sz="0" w:space="0" w:color="auto"/>
                  </w:divBdr>
                  <w:divsChild>
                    <w:div w:id="1903979404">
                      <w:marLeft w:val="0"/>
                      <w:marRight w:val="0"/>
                      <w:marTop w:val="0"/>
                      <w:marBottom w:val="0"/>
                      <w:divBdr>
                        <w:top w:val="none" w:sz="0" w:space="0" w:color="auto"/>
                        <w:left w:val="none" w:sz="0" w:space="0" w:color="auto"/>
                        <w:bottom w:val="none" w:sz="0" w:space="0" w:color="auto"/>
                        <w:right w:val="none" w:sz="0" w:space="0" w:color="auto"/>
                      </w:divBdr>
                      <w:divsChild>
                        <w:div w:id="863399957">
                          <w:marLeft w:val="0"/>
                          <w:marRight w:val="0"/>
                          <w:marTop w:val="0"/>
                          <w:marBottom w:val="0"/>
                          <w:divBdr>
                            <w:top w:val="none" w:sz="0" w:space="0" w:color="auto"/>
                            <w:left w:val="none" w:sz="0" w:space="0" w:color="auto"/>
                            <w:bottom w:val="none" w:sz="0" w:space="0" w:color="auto"/>
                            <w:right w:val="none" w:sz="0" w:space="0" w:color="auto"/>
                          </w:divBdr>
                          <w:divsChild>
                            <w:div w:id="456526453">
                              <w:marLeft w:val="0"/>
                              <w:marRight w:val="0"/>
                              <w:marTop w:val="0"/>
                              <w:marBottom w:val="0"/>
                              <w:divBdr>
                                <w:top w:val="none" w:sz="0" w:space="0" w:color="auto"/>
                                <w:left w:val="none" w:sz="0" w:space="0" w:color="auto"/>
                                <w:bottom w:val="none" w:sz="0" w:space="0" w:color="auto"/>
                                <w:right w:val="none" w:sz="0" w:space="0" w:color="auto"/>
                              </w:divBdr>
                              <w:divsChild>
                                <w:div w:id="509562983">
                                  <w:marLeft w:val="0"/>
                                  <w:marRight w:val="0"/>
                                  <w:marTop w:val="0"/>
                                  <w:marBottom w:val="0"/>
                                  <w:divBdr>
                                    <w:top w:val="none" w:sz="0" w:space="0" w:color="auto"/>
                                    <w:left w:val="none" w:sz="0" w:space="0" w:color="auto"/>
                                    <w:bottom w:val="none" w:sz="0" w:space="0" w:color="auto"/>
                                    <w:right w:val="none" w:sz="0" w:space="0" w:color="auto"/>
                                  </w:divBdr>
                                  <w:divsChild>
                                    <w:div w:id="2082481806">
                                      <w:marLeft w:val="0"/>
                                      <w:marRight w:val="0"/>
                                      <w:marTop w:val="0"/>
                                      <w:marBottom w:val="0"/>
                                      <w:divBdr>
                                        <w:top w:val="none" w:sz="0" w:space="0" w:color="auto"/>
                                        <w:left w:val="none" w:sz="0" w:space="0" w:color="auto"/>
                                        <w:bottom w:val="none" w:sz="0" w:space="0" w:color="auto"/>
                                        <w:right w:val="none" w:sz="0" w:space="0" w:color="auto"/>
                                      </w:divBdr>
                                      <w:divsChild>
                                        <w:div w:id="398599404">
                                          <w:marLeft w:val="0"/>
                                          <w:marRight w:val="0"/>
                                          <w:marTop w:val="0"/>
                                          <w:marBottom w:val="0"/>
                                          <w:divBdr>
                                            <w:top w:val="none" w:sz="0" w:space="0" w:color="auto"/>
                                            <w:left w:val="none" w:sz="0" w:space="0" w:color="auto"/>
                                            <w:bottom w:val="none" w:sz="0" w:space="0" w:color="auto"/>
                                            <w:right w:val="none" w:sz="0" w:space="0" w:color="auto"/>
                                          </w:divBdr>
                                          <w:divsChild>
                                            <w:div w:id="163669567">
                                              <w:marLeft w:val="0"/>
                                              <w:marRight w:val="0"/>
                                              <w:marTop w:val="0"/>
                                              <w:marBottom w:val="0"/>
                                              <w:divBdr>
                                                <w:top w:val="none" w:sz="0" w:space="0" w:color="auto"/>
                                                <w:left w:val="none" w:sz="0" w:space="0" w:color="auto"/>
                                                <w:bottom w:val="none" w:sz="0" w:space="0" w:color="auto"/>
                                                <w:right w:val="none" w:sz="0" w:space="0" w:color="auto"/>
                                              </w:divBdr>
                                              <w:divsChild>
                                                <w:div w:id="1511093476">
                                                  <w:marLeft w:val="0"/>
                                                  <w:marRight w:val="0"/>
                                                  <w:marTop w:val="0"/>
                                                  <w:marBottom w:val="0"/>
                                                  <w:divBdr>
                                                    <w:top w:val="none" w:sz="0" w:space="0" w:color="auto"/>
                                                    <w:left w:val="none" w:sz="0" w:space="0" w:color="auto"/>
                                                    <w:bottom w:val="none" w:sz="0" w:space="0" w:color="auto"/>
                                                    <w:right w:val="none" w:sz="0" w:space="0" w:color="auto"/>
                                                  </w:divBdr>
                                                  <w:divsChild>
                                                    <w:div w:id="781266849">
                                                      <w:marLeft w:val="0"/>
                                                      <w:marRight w:val="0"/>
                                                      <w:marTop w:val="0"/>
                                                      <w:marBottom w:val="0"/>
                                                      <w:divBdr>
                                                        <w:top w:val="none" w:sz="0" w:space="0" w:color="auto"/>
                                                        <w:left w:val="none" w:sz="0" w:space="0" w:color="auto"/>
                                                        <w:bottom w:val="none" w:sz="0" w:space="0" w:color="auto"/>
                                                        <w:right w:val="none" w:sz="0" w:space="0" w:color="auto"/>
                                                      </w:divBdr>
                                                      <w:divsChild>
                                                        <w:div w:id="5450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2342686">
      <w:bodyDiv w:val="1"/>
      <w:marLeft w:val="0"/>
      <w:marRight w:val="0"/>
      <w:marTop w:val="0"/>
      <w:marBottom w:val="0"/>
      <w:divBdr>
        <w:top w:val="none" w:sz="0" w:space="0" w:color="auto"/>
        <w:left w:val="none" w:sz="0" w:space="0" w:color="auto"/>
        <w:bottom w:val="none" w:sz="0" w:space="0" w:color="auto"/>
        <w:right w:val="none" w:sz="0" w:space="0" w:color="auto"/>
      </w:divBdr>
    </w:div>
    <w:div w:id="1118766254">
      <w:bodyDiv w:val="1"/>
      <w:marLeft w:val="0"/>
      <w:marRight w:val="0"/>
      <w:marTop w:val="0"/>
      <w:marBottom w:val="0"/>
      <w:divBdr>
        <w:top w:val="none" w:sz="0" w:space="0" w:color="auto"/>
        <w:left w:val="none" w:sz="0" w:space="0" w:color="auto"/>
        <w:bottom w:val="none" w:sz="0" w:space="0" w:color="auto"/>
        <w:right w:val="none" w:sz="0" w:space="0" w:color="auto"/>
      </w:divBdr>
    </w:div>
    <w:div w:id="1126586340">
      <w:bodyDiv w:val="1"/>
      <w:marLeft w:val="0"/>
      <w:marRight w:val="0"/>
      <w:marTop w:val="0"/>
      <w:marBottom w:val="0"/>
      <w:divBdr>
        <w:top w:val="none" w:sz="0" w:space="0" w:color="auto"/>
        <w:left w:val="none" w:sz="0" w:space="0" w:color="auto"/>
        <w:bottom w:val="none" w:sz="0" w:space="0" w:color="auto"/>
        <w:right w:val="none" w:sz="0" w:space="0" w:color="auto"/>
      </w:divBdr>
      <w:divsChild>
        <w:div w:id="2012751299">
          <w:marLeft w:val="0"/>
          <w:marRight w:val="0"/>
          <w:marTop w:val="0"/>
          <w:marBottom w:val="0"/>
          <w:divBdr>
            <w:top w:val="none" w:sz="0" w:space="0" w:color="auto"/>
            <w:left w:val="none" w:sz="0" w:space="0" w:color="auto"/>
            <w:bottom w:val="none" w:sz="0" w:space="0" w:color="auto"/>
            <w:right w:val="none" w:sz="0" w:space="0" w:color="auto"/>
          </w:divBdr>
          <w:divsChild>
            <w:div w:id="317000344">
              <w:marLeft w:val="0"/>
              <w:marRight w:val="0"/>
              <w:marTop w:val="0"/>
              <w:marBottom w:val="0"/>
              <w:divBdr>
                <w:top w:val="none" w:sz="0" w:space="0" w:color="auto"/>
                <w:left w:val="none" w:sz="0" w:space="0" w:color="auto"/>
                <w:bottom w:val="none" w:sz="0" w:space="0" w:color="auto"/>
                <w:right w:val="none" w:sz="0" w:space="0" w:color="auto"/>
              </w:divBdr>
              <w:divsChild>
                <w:div w:id="637951740">
                  <w:marLeft w:val="0"/>
                  <w:marRight w:val="0"/>
                  <w:marTop w:val="0"/>
                  <w:marBottom w:val="0"/>
                  <w:divBdr>
                    <w:top w:val="none" w:sz="0" w:space="0" w:color="auto"/>
                    <w:left w:val="none" w:sz="0" w:space="0" w:color="auto"/>
                    <w:bottom w:val="none" w:sz="0" w:space="0" w:color="auto"/>
                    <w:right w:val="none" w:sz="0" w:space="0" w:color="auto"/>
                  </w:divBdr>
                  <w:divsChild>
                    <w:div w:id="645404224">
                      <w:marLeft w:val="0"/>
                      <w:marRight w:val="0"/>
                      <w:marTop w:val="0"/>
                      <w:marBottom w:val="0"/>
                      <w:divBdr>
                        <w:top w:val="none" w:sz="0" w:space="0" w:color="auto"/>
                        <w:left w:val="none" w:sz="0" w:space="0" w:color="auto"/>
                        <w:bottom w:val="none" w:sz="0" w:space="0" w:color="auto"/>
                        <w:right w:val="none" w:sz="0" w:space="0" w:color="auto"/>
                      </w:divBdr>
                      <w:divsChild>
                        <w:div w:id="747001569">
                          <w:marLeft w:val="0"/>
                          <w:marRight w:val="0"/>
                          <w:marTop w:val="0"/>
                          <w:marBottom w:val="0"/>
                          <w:divBdr>
                            <w:top w:val="none" w:sz="0" w:space="0" w:color="auto"/>
                            <w:left w:val="none" w:sz="0" w:space="0" w:color="auto"/>
                            <w:bottom w:val="none" w:sz="0" w:space="0" w:color="auto"/>
                            <w:right w:val="none" w:sz="0" w:space="0" w:color="auto"/>
                          </w:divBdr>
                          <w:divsChild>
                            <w:div w:id="1157040380">
                              <w:marLeft w:val="0"/>
                              <w:marRight w:val="0"/>
                              <w:marTop w:val="0"/>
                              <w:marBottom w:val="0"/>
                              <w:divBdr>
                                <w:top w:val="none" w:sz="0" w:space="0" w:color="auto"/>
                                <w:left w:val="none" w:sz="0" w:space="0" w:color="auto"/>
                                <w:bottom w:val="none" w:sz="0" w:space="0" w:color="auto"/>
                                <w:right w:val="none" w:sz="0" w:space="0" w:color="auto"/>
                              </w:divBdr>
                              <w:divsChild>
                                <w:div w:id="1187864921">
                                  <w:marLeft w:val="0"/>
                                  <w:marRight w:val="0"/>
                                  <w:marTop w:val="0"/>
                                  <w:marBottom w:val="0"/>
                                  <w:divBdr>
                                    <w:top w:val="none" w:sz="0" w:space="0" w:color="auto"/>
                                    <w:left w:val="none" w:sz="0" w:space="0" w:color="auto"/>
                                    <w:bottom w:val="none" w:sz="0" w:space="0" w:color="auto"/>
                                    <w:right w:val="none" w:sz="0" w:space="0" w:color="auto"/>
                                  </w:divBdr>
                                  <w:divsChild>
                                    <w:div w:id="17559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393465">
      <w:bodyDiv w:val="1"/>
      <w:marLeft w:val="0"/>
      <w:marRight w:val="0"/>
      <w:marTop w:val="0"/>
      <w:marBottom w:val="0"/>
      <w:divBdr>
        <w:top w:val="none" w:sz="0" w:space="0" w:color="auto"/>
        <w:left w:val="none" w:sz="0" w:space="0" w:color="auto"/>
        <w:bottom w:val="none" w:sz="0" w:space="0" w:color="auto"/>
        <w:right w:val="none" w:sz="0" w:space="0" w:color="auto"/>
      </w:divBdr>
    </w:div>
    <w:div w:id="1134178798">
      <w:bodyDiv w:val="1"/>
      <w:marLeft w:val="0"/>
      <w:marRight w:val="0"/>
      <w:marTop w:val="0"/>
      <w:marBottom w:val="0"/>
      <w:divBdr>
        <w:top w:val="none" w:sz="0" w:space="0" w:color="auto"/>
        <w:left w:val="none" w:sz="0" w:space="0" w:color="auto"/>
        <w:bottom w:val="none" w:sz="0" w:space="0" w:color="auto"/>
        <w:right w:val="none" w:sz="0" w:space="0" w:color="auto"/>
      </w:divBdr>
    </w:div>
    <w:div w:id="1138112435">
      <w:bodyDiv w:val="1"/>
      <w:marLeft w:val="0"/>
      <w:marRight w:val="0"/>
      <w:marTop w:val="0"/>
      <w:marBottom w:val="0"/>
      <w:divBdr>
        <w:top w:val="none" w:sz="0" w:space="0" w:color="auto"/>
        <w:left w:val="none" w:sz="0" w:space="0" w:color="auto"/>
        <w:bottom w:val="none" w:sz="0" w:space="0" w:color="auto"/>
        <w:right w:val="none" w:sz="0" w:space="0" w:color="auto"/>
      </w:divBdr>
      <w:divsChild>
        <w:div w:id="1502811703">
          <w:marLeft w:val="0"/>
          <w:marRight w:val="0"/>
          <w:marTop w:val="0"/>
          <w:marBottom w:val="0"/>
          <w:divBdr>
            <w:top w:val="none" w:sz="0" w:space="0" w:color="auto"/>
            <w:left w:val="none" w:sz="0" w:space="0" w:color="auto"/>
            <w:bottom w:val="none" w:sz="0" w:space="0" w:color="auto"/>
            <w:right w:val="none" w:sz="0" w:space="0" w:color="auto"/>
          </w:divBdr>
          <w:divsChild>
            <w:div w:id="210043416">
              <w:marLeft w:val="0"/>
              <w:marRight w:val="0"/>
              <w:marTop w:val="0"/>
              <w:marBottom w:val="0"/>
              <w:divBdr>
                <w:top w:val="none" w:sz="0" w:space="0" w:color="auto"/>
                <w:left w:val="none" w:sz="0" w:space="0" w:color="auto"/>
                <w:bottom w:val="none" w:sz="0" w:space="0" w:color="auto"/>
                <w:right w:val="none" w:sz="0" w:space="0" w:color="auto"/>
              </w:divBdr>
              <w:divsChild>
                <w:div w:id="699085581">
                  <w:marLeft w:val="0"/>
                  <w:marRight w:val="0"/>
                  <w:marTop w:val="0"/>
                  <w:marBottom w:val="0"/>
                  <w:divBdr>
                    <w:top w:val="none" w:sz="0" w:space="0" w:color="auto"/>
                    <w:left w:val="none" w:sz="0" w:space="0" w:color="auto"/>
                    <w:bottom w:val="none" w:sz="0" w:space="0" w:color="auto"/>
                    <w:right w:val="none" w:sz="0" w:space="0" w:color="auto"/>
                  </w:divBdr>
                  <w:divsChild>
                    <w:div w:id="756681616">
                      <w:marLeft w:val="0"/>
                      <w:marRight w:val="0"/>
                      <w:marTop w:val="0"/>
                      <w:marBottom w:val="0"/>
                      <w:divBdr>
                        <w:top w:val="none" w:sz="0" w:space="0" w:color="auto"/>
                        <w:left w:val="none" w:sz="0" w:space="0" w:color="auto"/>
                        <w:bottom w:val="none" w:sz="0" w:space="0" w:color="auto"/>
                        <w:right w:val="none" w:sz="0" w:space="0" w:color="auto"/>
                      </w:divBdr>
                      <w:divsChild>
                        <w:div w:id="331298287">
                          <w:marLeft w:val="0"/>
                          <w:marRight w:val="0"/>
                          <w:marTop w:val="0"/>
                          <w:marBottom w:val="0"/>
                          <w:divBdr>
                            <w:top w:val="none" w:sz="0" w:space="0" w:color="auto"/>
                            <w:left w:val="none" w:sz="0" w:space="0" w:color="auto"/>
                            <w:bottom w:val="none" w:sz="0" w:space="0" w:color="auto"/>
                            <w:right w:val="none" w:sz="0" w:space="0" w:color="auto"/>
                          </w:divBdr>
                          <w:divsChild>
                            <w:div w:id="781532465">
                              <w:marLeft w:val="0"/>
                              <w:marRight w:val="0"/>
                              <w:marTop w:val="0"/>
                              <w:marBottom w:val="0"/>
                              <w:divBdr>
                                <w:top w:val="none" w:sz="0" w:space="0" w:color="auto"/>
                                <w:left w:val="none" w:sz="0" w:space="0" w:color="auto"/>
                                <w:bottom w:val="none" w:sz="0" w:space="0" w:color="auto"/>
                                <w:right w:val="none" w:sz="0" w:space="0" w:color="auto"/>
                              </w:divBdr>
                              <w:divsChild>
                                <w:div w:id="327291356">
                                  <w:marLeft w:val="0"/>
                                  <w:marRight w:val="0"/>
                                  <w:marTop w:val="0"/>
                                  <w:marBottom w:val="0"/>
                                  <w:divBdr>
                                    <w:top w:val="none" w:sz="0" w:space="0" w:color="auto"/>
                                    <w:left w:val="none" w:sz="0" w:space="0" w:color="auto"/>
                                    <w:bottom w:val="none" w:sz="0" w:space="0" w:color="auto"/>
                                    <w:right w:val="none" w:sz="0" w:space="0" w:color="auto"/>
                                  </w:divBdr>
                                  <w:divsChild>
                                    <w:div w:id="365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89961">
      <w:bodyDiv w:val="1"/>
      <w:marLeft w:val="0"/>
      <w:marRight w:val="0"/>
      <w:marTop w:val="0"/>
      <w:marBottom w:val="0"/>
      <w:divBdr>
        <w:top w:val="none" w:sz="0" w:space="0" w:color="auto"/>
        <w:left w:val="none" w:sz="0" w:space="0" w:color="auto"/>
        <w:bottom w:val="none" w:sz="0" w:space="0" w:color="auto"/>
        <w:right w:val="none" w:sz="0" w:space="0" w:color="auto"/>
      </w:divBdr>
    </w:div>
    <w:div w:id="1148597372">
      <w:bodyDiv w:val="1"/>
      <w:marLeft w:val="0"/>
      <w:marRight w:val="0"/>
      <w:marTop w:val="0"/>
      <w:marBottom w:val="0"/>
      <w:divBdr>
        <w:top w:val="none" w:sz="0" w:space="0" w:color="auto"/>
        <w:left w:val="none" w:sz="0" w:space="0" w:color="auto"/>
        <w:bottom w:val="none" w:sz="0" w:space="0" w:color="auto"/>
        <w:right w:val="none" w:sz="0" w:space="0" w:color="auto"/>
      </w:divBdr>
    </w:div>
    <w:div w:id="1176652474">
      <w:bodyDiv w:val="1"/>
      <w:marLeft w:val="0"/>
      <w:marRight w:val="0"/>
      <w:marTop w:val="0"/>
      <w:marBottom w:val="0"/>
      <w:divBdr>
        <w:top w:val="none" w:sz="0" w:space="0" w:color="auto"/>
        <w:left w:val="none" w:sz="0" w:space="0" w:color="auto"/>
        <w:bottom w:val="none" w:sz="0" w:space="0" w:color="auto"/>
        <w:right w:val="none" w:sz="0" w:space="0" w:color="auto"/>
      </w:divBdr>
    </w:div>
    <w:div w:id="1237785251">
      <w:bodyDiv w:val="1"/>
      <w:marLeft w:val="0"/>
      <w:marRight w:val="0"/>
      <w:marTop w:val="0"/>
      <w:marBottom w:val="0"/>
      <w:divBdr>
        <w:top w:val="none" w:sz="0" w:space="0" w:color="auto"/>
        <w:left w:val="none" w:sz="0" w:space="0" w:color="auto"/>
        <w:bottom w:val="none" w:sz="0" w:space="0" w:color="auto"/>
        <w:right w:val="none" w:sz="0" w:space="0" w:color="auto"/>
      </w:divBdr>
      <w:divsChild>
        <w:div w:id="509566384">
          <w:marLeft w:val="0"/>
          <w:marRight w:val="0"/>
          <w:marTop w:val="0"/>
          <w:marBottom w:val="0"/>
          <w:divBdr>
            <w:top w:val="single" w:sz="2" w:space="0" w:color="auto"/>
            <w:left w:val="single" w:sz="2" w:space="0" w:color="auto"/>
            <w:bottom w:val="single" w:sz="6" w:space="0" w:color="auto"/>
            <w:right w:val="single" w:sz="2" w:space="0" w:color="auto"/>
          </w:divBdr>
          <w:divsChild>
            <w:div w:id="233393348">
              <w:marLeft w:val="0"/>
              <w:marRight w:val="0"/>
              <w:marTop w:val="100"/>
              <w:marBottom w:val="100"/>
              <w:divBdr>
                <w:top w:val="single" w:sz="2" w:space="0" w:color="D9D9E3"/>
                <w:left w:val="single" w:sz="2" w:space="0" w:color="D9D9E3"/>
                <w:bottom w:val="single" w:sz="2" w:space="0" w:color="D9D9E3"/>
                <w:right w:val="single" w:sz="2" w:space="0" w:color="D9D9E3"/>
              </w:divBdr>
              <w:divsChild>
                <w:div w:id="867182558">
                  <w:marLeft w:val="0"/>
                  <w:marRight w:val="0"/>
                  <w:marTop w:val="0"/>
                  <w:marBottom w:val="0"/>
                  <w:divBdr>
                    <w:top w:val="single" w:sz="2" w:space="0" w:color="D9D9E3"/>
                    <w:left w:val="single" w:sz="2" w:space="0" w:color="D9D9E3"/>
                    <w:bottom w:val="single" w:sz="2" w:space="0" w:color="D9D9E3"/>
                    <w:right w:val="single" w:sz="2" w:space="0" w:color="D9D9E3"/>
                  </w:divBdr>
                  <w:divsChild>
                    <w:div w:id="722021424">
                      <w:marLeft w:val="0"/>
                      <w:marRight w:val="0"/>
                      <w:marTop w:val="0"/>
                      <w:marBottom w:val="0"/>
                      <w:divBdr>
                        <w:top w:val="single" w:sz="2" w:space="0" w:color="D9D9E3"/>
                        <w:left w:val="single" w:sz="2" w:space="0" w:color="D9D9E3"/>
                        <w:bottom w:val="single" w:sz="2" w:space="0" w:color="D9D9E3"/>
                        <w:right w:val="single" w:sz="2" w:space="0" w:color="D9D9E3"/>
                      </w:divBdr>
                      <w:divsChild>
                        <w:div w:id="1384133640">
                          <w:marLeft w:val="0"/>
                          <w:marRight w:val="0"/>
                          <w:marTop w:val="0"/>
                          <w:marBottom w:val="0"/>
                          <w:divBdr>
                            <w:top w:val="single" w:sz="2" w:space="0" w:color="D9D9E3"/>
                            <w:left w:val="single" w:sz="2" w:space="0" w:color="D9D9E3"/>
                            <w:bottom w:val="single" w:sz="2" w:space="0" w:color="D9D9E3"/>
                            <w:right w:val="single" w:sz="2" w:space="0" w:color="D9D9E3"/>
                          </w:divBdr>
                          <w:divsChild>
                            <w:div w:id="710763055">
                              <w:marLeft w:val="0"/>
                              <w:marRight w:val="0"/>
                              <w:marTop w:val="0"/>
                              <w:marBottom w:val="0"/>
                              <w:divBdr>
                                <w:top w:val="single" w:sz="2" w:space="0" w:color="D9D9E3"/>
                                <w:left w:val="single" w:sz="2" w:space="0" w:color="D9D9E3"/>
                                <w:bottom w:val="single" w:sz="2" w:space="0" w:color="D9D9E3"/>
                                <w:right w:val="single" w:sz="2" w:space="0" w:color="D9D9E3"/>
                              </w:divBdr>
                              <w:divsChild>
                                <w:div w:id="786506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43111631">
          <w:marLeft w:val="0"/>
          <w:marRight w:val="0"/>
          <w:marTop w:val="0"/>
          <w:marBottom w:val="0"/>
          <w:divBdr>
            <w:top w:val="single" w:sz="2" w:space="0" w:color="auto"/>
            <w:left w:val="single" w:sz="2" w:space="0" w:color="auto"/>
            <w:bottom w:val="single" w:sz="6" w:space="0" w:color="auto"/>
            <w:right w:val="single" w:sz="2" w:space="0" w:color="auto"/>
          </w:divBdr>
          <w:divsChild>
            <w:div w:id="175586083">
              <w:marLeft w:val="0"/>
              <w:marRight w:val="0"/>
              <w:marTop w:val="100"/>
              <w:marBottom w:val="100"/>
              <w:divBdr>
                <w:top w:val="single" w:sz="2" w:space="0" w:color="D9D9E3"/>
                <w:left w:val="single" w:sz="2" w:space="0" w:color="D9D9E3"/>
                <w:bottom w:val="single" w:sz="2" w:space="0" w:color="D9D9E3"/>
                <w:right w:val="single" w:sz="2" w:space="0" w:color="D9D9E3"/>
              </w:divBdr>
              <w:divsChild>
                <w:div w:id="41247951">
                  <w:marLeft w:val="0"/>
                  <w:marRight w:val="0"/>
                  <w:marTop w:val="0"/>
                  <w:marBottom w:val="0"/>
                  <w:divBdr>
                    <w:top w:val="single" w:sz="2" w:space="0" w:color="D9D9E3"/>
                    <w:left w:val="single" w:sz="2" w:space="0" w:color="D9D9E3"/>
                    <w:bottom w:val="single" w:sz="2" w:space="0" w:color="D9D9E3"/>
                    <w:right w:val="single" w:sz="2" w:space="0" w:color="D9D9E3"/>
                  </w:divBdr>
                  <w:divsChild>
                    <w:div w:id="1365402210">
                      <w:marLeft w:val="0"/>
                      <w:marRight w:val="0"/>
                      <w:marTop w:val="0"/>
                      <w:marBottom w:val="0"/>
                      <w:divBdr>
                        <w:top w:val="single" w:sz="2" w:space="0" w:color="D9D9E3"/>
                        <w:left w:val="single" w:sz="2" w:space="0" w:color="D9D9E3"/>
                        <w:bottom w:val="single" w:sz="2" w:space="0" w:color="D9D9E3"/>
                        <w:right w:val="single" w:sz="2" w:space="0" w:color="D9D9E3"/>
                      </w:divBdr>
                      <w:divsChild>
                        <w:div w:id="1948389880">
                          <w:marLeft w:val="0"/>
                          <w:marRight w:val="0"/>
                          <w:marTop w:val="0"/>
                          <w:marBottom w:val="0"/>
                          <w:divBdr>
                            <w:top w:val="single" w:sz="2" w:space="0" w:color="D9D9E3"/>
                            <w:left w:val="single" w:sz="2" w:space="0" w:color="D9D9E3"/>
                            <w:bottom w:val="single" w:sz="2" w:space="0" w:color="D9D9E3"/>
                            <w:right w:val="single" w:sz="2" w:space="0" w:color="D9D9E3"/>
                          </w:divBdr>
                          <w:divsChild>
                            <w:div w:id="1333216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19116771">
                      <w:marLeft w:val="0"/>
                      <w:marRight w:val="0"/>
                      <w:marTop w:val="0"/>
                      <w:marBottom w:val="0"/>
                      <w:divBdr>
                        <w:top w:val="single" w:sz="2" w:space="0" w:color="D9D9E3"/>
                        <w:left w:val="single" w:sz="2" w:space="0" w:color="D9D9E3"/>
                        <w:bottom w:val="single" w:sz="2" w:space="0" w:color="D9D9E3"/>
                        <w:right w:val="single" w:sz="2" w:space="0" w:color="D9D9E3"/>
                      </w:divBdr>
                      <w:divsChild>
                        <w:div w:id="1358313963">
                          <w:marLeft w:val="0"/>
                          <w:marRight w:val="0"/>
                          <w:marTop w:val="0"/>
                          <w:marBottom w:val="0"/>
                          <w:divBdr>
                            <w:top w:val="single" w:sz="2" w:space="0" w:color="D9D9E3"/>
                            <w:left w:val="single" w:sz="2" w:space="0" w:color="D9D9E3"/>
                            <w:bottom w:val="single" w:sz="2" w:space="0" w:color="D9D9E3"/>
                            <w:right w:val="single" w:sz="2" w:space="0" w:color="D9D9E3"/>
                          </w:divBdr>
                          <w:divsChild>
                            <w:div w:id="1524633416">
                              <w:marLeft w:val="0"/>
                              <w:marRight w:val="0"/>
                              <w:marTop w:val="0"/>
                              <w:marBottom w:val="0"/>
                              <w:divBdr>
                                <w:top w:val="single" w:sz="2" w:space="0" w:color="D9D9E3"/>
                                <w:left w:val="single" w:sz="2" w:space="0" w:color="D9D9E3"/>
                                <w:bottom w:val="single" w:sz="2" w:space="0" w:color="D9D9E3"/>
                                <w:right w:val="single" w:sz="2" w:space="0" w:color="D9D9E3"/>
                              </w:divBdr>
                              <w:divsChild>
                                <w:div w:id="12118475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7618801">
      <w:bodyDiv w:val="1"/>
      <w:marLeft w:val="0"/>
      <w:marRight w:val="0"/>
      <w:marTop w:val="0"/>
      <w:marBottom w:val="0"/>
      <w:divBdr>
        <w:top w:val="none" w:sz="0" w:space="0" w:color="auto"/>
        <w:left w:val="none" w:sz="0" w:space="0" w:color="auto"/>
        <w:bottom w:val="none" w:sz="0" w:space="0" w:color="auto"/>
        <w:right w:val="none" w:sz="0" w:space="0" w:color="auto"/>
      </w:divBdr>
    </w:div>
    <w:div w:id="1327317869">
      <w:bodyDiv w:val="1"/>
      <w:marLeft w:val="0"/>
      <w:marRight w:val="0"/>
      <w:marTop w:val="0"/>
      <w:marBottom w:val="0"/>
      <w:divBdr>
        <w:top w:val="none" w:sz="0" w:space="0" w:color="auto"/>
        <w:left w:val="none" w:sz="0" w:space="0" w:color="auto"/>
        <w:bottom w:val="none" w:sz="0" w:space="0" w:color="auto"/>
        <w:right w:val="none" w:sz="0" w:space="0" w:color="auto"/>
      </w:divBdr>
    </w:div>
    <w:div w:id="1332180574">
      <w:bodyDiv w:val="1"/>
      <w:marLeft w:val="0"/>
      <w:marRight w:val="0"/>
      <w:marTop w:val="0"/>
      <w:marBottom w:val="0"/>
      <w:divBdr>
        <w:top w:val="none" w:sz="0" w:space="0" w:color="auto"/>
        <w:left w:val="none" w:sz="0" w:space="0" w:color="auto"/>
        <w:bottom w:val="none" w:sz="0" w:space="0" w:color="auto"/>
        <w:right w:val="none" w:sz="0" w:space="0" w:color="auto"/>
      </w:divBdr>
    </w:div>
    <w:div w:id="1333340253">
      <w:bodyDiv w:val="1"/>
      <w:marLeft w:val="0"/>
      <w:marRight w:val="0"/>
      <w:marTop w:val="0"/>
      <w:marBottom w:val="0"/>
      <w:divBdr>
        <w:top w:val="none" w:sz="0" w:space="0" w:color="auto"/>
        <w:left w:val="none" w:sz="0" w:space="0" w:color="auto"/>
        <w:bottom w:val="none" w:sz="0" w:space="0" w:color="auto"/>
        <w:right w:val="none" w:sz="0" w:space="0" w:color="auto"/>
      </w:divBdr>
    </w:div>
    <w:div w:id="1333725449">
      <w:bodyDiv w:val="1"/>
      <w:marLeft w:val="0"/>
      <w:marRight w:val="0"/>
      <w:marTop w:val="0"/>
      <w:marBottom w:val="0"/>
      <w:divBdr>
        <w:top w:val="none" w:sz="0" w:space="0" w:color="auto"/>
        <w:left w:val="none" w:sz="0" w:space="0" w:color="auto"/>
        <w:bottom w:val="none" w:sz="0" w:space="0" w:color="auto"/>
        <w:right w:val="none" w:sz="0" w:space="0" w:color="auto"/>
      </w:divBdr>
    </w:div>
    <w:div w:id="1416199758">
      <w:bodyDiv w:val="1"/>
      <w:marLeft w:val="0"/>
      <w:marRight w:val="0"/>
      <w:marTop w:val="0"/>
      <w:marBottom w:val="0"/>
      <w:divBdr>
        <w:top w:val="none" w:sz="0" w:space="0" w:color="auto"/>
        <w:left w:val="none" w:sz="0" w:space="0" w:color="auto"/>
        <w:bottom w:val="none" w:sz="0" w:space="0" w:color="auto"/>
        <w:right w:val="none" w:sz="0" w:space="0" w:color="auto"/>
      </w:divBdr>
      <w:divsChild>
        <w:div w:id="64880890">
          <w:marLeft w:val="0"/>
          <w:marRight w:val="0"/>
          <w:marTop w:val="0"/>
          <w:marBottom w:val="0"/>
          <w:divBdr>
            <w:top w:val="single" w:sz="2" w:space="0" w:color="D9D9E3"/>
            <w:left w:val="single" w:sz="2" w:space="0" w:color="D9D9E3"/>
            <w:bottom w:val="single" w:sz="2" w:space="0" w:color="D9D9E3"/>
            <w:right w:val="single" w:sz="2" w:space="0" w:color="D9D9E3"/>
          </w:divBdr>
          <w:divsChild>
            <w:div w:id="1805342926">
              <w:marLeft w:val="0"/>
              <w:marRight w:val="0"/>
              <w:marTop w:val="0"/>
              <w:marBottom w:val="0"/>
              <w:divBdr>
                <w:top w:val="single" w:sz="2" w:space="0" w:color="D9D9E3"/>
                <w:left w:val="single" w:sz="2" w:space="0" w:color="D9D9E3"/>
                <w:bottom w:val="single" w:sz="2" w:space="0" w:color="D9D9E3"/>
                <w:right w:val="single" w:sz="2" w:space="0" w:color="D9D9E3"/>
              </w:divBdr>
              <w:divsChild>
                <w:div w:id="1784491811">
                  <w:marLeft w:val="0"/>
                  <w:marRight w:val="0"/>
                  <w:marTop w:val="0"/>
                  <w:marBottom w:val="0"/>
                  <w:divBdr>
                    <w:top w:val="single" w:sz="2" w:space="0" w:color="D9D9E3"/>
                    <w:left w:val="single" w:sz="2" w:space="0" w:color="D9D9E3"/>
                    <w:bottom w:val="single" w:sz="2" w:space="0" w:color="D9D9E3"/>
                    <w:right w:val="single" w:sz="2" w:space="0" w:color="D9D9E3"/>
                  </w:divBdr>
                  <w:divsChild>
                    <w:div w:id="1129652">
                      <w:marLeft w:val="0"/>
                      <w:marRight w:val="0"/>
                      <w:marTop w:val="0"/>
                      <w:marBottom w:val="0"/>
                      <w:divBdr>
                        <w:top w:val="single" w:sz="2" w:space="0" w:color="D9D9E3"/>
                        <w:left w:val="single" w:sz="2" w:space="0" w:color="D9D9E3"/>
                        <w:bottom w:val="single" w:sz="2" w:space="0" w:color="D9D9E3"/>
                        <w:right w:val="single" w:sz="2" w:space="0" w:color="D9D9E3"/>
                      </w:divBdr>
                      <w:divsChild>
                        <w:div w:id="1229195902">
                          <w:marLeft w:val="0"/>
                          <w:marRight w:val="0"/>
                          <w:marTop w:val="0"/>
                          <w:marBottom w:val="0"/>
                          <w:divBdr>
                            <w:top w:val="single" w:sz="2" w:space="0" w:color="auto"/>
                            <w:left w:val="single" w:sz="2" w:space="0" w:color="auto"/>
                            <w:bottom w:val="single" w:sz="6" w:space="0" w:color="auto"/>
                            <w:right w:val="single" w:sz="2" w:space="0" w:color="auto"/>
                          </w:divBdr>
                          <w:divsChild>
                            <w:div w:id="7138191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85760697">
                                  <w:marLeft w:val="0"/>
                                  <w:marRight w:val="0"/>
                                  <w:marTop w:val="0"/>
                                  <w:marBottom w:val="0"/>
                                  <w:divBdr>
                                    <w:top w:val="single" w:sz="2" w:space="0" w:color="D9D9E3"/>
                                    <w:left w:val="single" w:sz="2" w:space="0" w:color="D9D9E3"/>
                                    <w:bottom w:val="single" w:sz="2" w:space="0" w:color="D9D9E3"/>
                                    <w:right w:val="single" w:sz="2" w:space="0" w:color="D9D9E3"/>
                                  </w:divBdr>
                                  <w:divsChild>
                                    <w:div w:id="731737634">
                                      <w:marLeft w:val="0"/>
                                      <w:marRight w:val="0"/>
                                      <w:marTop w:val="0"/>
                                      <w:marBottom w:val="0"/>
                                      <w:divBdr>
                                        <w:top w:val="single" w:sz="2" w:space="0" w:color="D9D9E3"/>
                                        <w:left w:val="single" w:sz="2" w:space="0" w:color="D9D9E3"/>
                                        <w:bottom w:val="single" w:sz="2" w:space="0" w:color="D9D9E3"/>
                                        <w:right w:val="single" w:sz="2" w:space="0" w:color="D9D9E3"/>
                                      </w:divBdr>
                                      <w:divsChild>
                                        <w:div w:id="293876364">
                                          <w:marLeft w:val="0"/>
                                          <w:marRight w:val="0"/>
                                          <w:marTop w:val="0"/>
                                          <w:marBottom w:val="0"/>
                                          <w:divBdr>
                                            <w:top w:val="single" w:sz="2" w:space="0" w:color="D9D9E3"/>
                                            <w:left w:val="single" w:sz="2" w:space="0" w:color="D9D9E3"/>
                                            <w:bottom w:val="single" w:sz="2" w:space="0" w:color="D9D9E3"/>
                                            <w:right w:val="single" w:sz="2" w:space="0" w:color="D9D9E3"/>
                                          </w:divBdr>
                                          <w:divsChild>
                                            <w:div w:id="891117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77882814">
          <w:marLeft w:val="0"/>
          <w:marRight w:val="0"/>
          <w:marTop w:val="0"/>
          <w:marBottom w:val="0"/>
          <w:divBdr>
            <w:top w:val="none" w:sz="0" w:space="0" w:color="auto"/>
            <w:left w:val="none" w:sz="0" w:space="0" w:color="auto"/>
            <w:bottom w:val="none" w:sz="0" w:space="0" w:color="auto"/>
            <w:right w:val="none" w:sz="0" w:space="0" w:color="auto"/>
          </w:divBdr>
        </w:div>
      </w:divsChild>
    </w:div>
    <w:div w:id="1454517451">
      <w:bodyDiv w:val="1"/>
      <w:marLeft w:val="0"/>
      <w:marRight w:val="0"/>
      <w:marTop w:val="0"/>
      <w:marBottom w:val="0"/>
      <w:divBdr>
        <w:top w:val="none" w:sz="0" w:space="0" w:color="auto"/>
        <w:left w:val="none" w:sz="0" w:space="0" w:color="auto"/>
        <w:bottom w:val="none" w:sz="0" w:space="0" w:color="auto"/>
        <w:right w:val="none" w:sz="0" w:space="0" w:color="auto"/>
      </w:divBdr>
    </w:div>
    <w:div w:id="1497917261">
      <w:bodyDiv w:val="1"/>
      <w:marLeft w:val="0"/>
      <w:marRight w:val="0"/>
      <w:marTop w:val="0"/>
      <w:marBottom w:val="0"/>
      <w:divBdr>
        <w:top w:val="none" w:sz="0" w:space="0" w:color="auto"/>
        <w:left w:val="none" w:sz="0" w:space="0" w:color="auto"/>
        <w:bottom w:val="none" w:sz="0" w:space="0" w:color="auto"/>
        <w:right w:val="none" w:sz="0" w:space="0" w:color="auto"/>
      </w:divBdr>
    </w:div>
    <w:div w:id="1504121817">
      <w:bodyDiv w:val="1"/>
      <w:marLeft w:val="0"/>
      <w:marRight w:val="0"/>
      <w:marTop w:val="0"/>
      <w:marBottom w:val="0"/>
      <w:divBdr>
        <w:top w:val="none" w:sz="0" w:space="0" w:color="auto"/>
        <w:left w:val="none" w:sz="0" w:space="0" w:color="auto"/>
        <w:bottom w:val="none" w:sz="0" w:space="0" w:color="auto"/>
        <w:right w:val="none" w:sz="0" w:space="0" w:color="auto"/>
      </w:divBdr>
    </w:div>
    <w:div w:id="1534072988">
      <w:bodyDiv w:val="1"/>
      <w:marLeft w:val="0"/>
      <w:marRight w:val="0"/>
      <w:marTop w:val="0"/>
      <w:marBottom w:val="0"/>
      <w:divBdr>
        <w:top w:val="none" w:sz="0" w:space="0" w:color="auto"/>
        <w:left w:val="none" w:sz="0" w:space="0" w:color="auto"/>
        <w:bottom w:val="none" w:sz="0" w:space="0" w:color="auto"/>
        <w:right w:val="none" w:sz="0" w:space="0" w:color="auto"/>
      </w:divBdr>
    </w:div>
    <w:div w:id="1567371137">
      <w:bodyDiv w:val="1"/>
      <w:marLeft w:val="0"/>
      <w:marRight w:val="0"/>
      <w:marTop w:val="0"/>
      <w:marBottom w:val="0"/>
      <w:divBdr>
        <w:top w:val="none" w:sz="0" w:space="0" w:color="auto"/>
        <w:left w:val="none" w:sz="0" w:space="0" w:color="auto"/>
        <w:bottom w:val="none" w:sz="0" w:space="0" w:color="auto"/>
        <w:right w:val="none" w:sz="0" w:space="0" w:color="auto"/>
      </w:divBdr>
    </w:div>
    <w:div w:id="1570262683">
      <w:bodyDiv w:val="1"/>
      <w:marLeft w:val="0"/>
      <w:marRight w:val="0"/>
      <w:marTop w:val="0"/>
      <w:marBottom w:val="0"/>
      <w:divBdr>
        <w:top w:val="none" w:sz="0" w:space="0" w:color="auto"/>
        <w:left w:val="none" w:sz="0" w:space="0" w:color="auto"/>
        <w:bottom w:val="none" w:sz="0" w:space="0" w:color="auto"/>
        <w:right w:val="none" w:sz="0" w:space="0" w:color="auto"/>
      </w:divBdr>
    </w:div>
    <w:div w:id="1585185655">
      <w:bodyDiv w:val="1"/>
      <w:marLeft w:val="0"/>
      <w:marRight w:val="0"/>
      <w:marTop w:val="0"/>
      <w:marBottom w:val="0"/>
      <w:divBdr>
        <w:top w:val="none" w:sz="0" w:space="0" w:color="auto"/>
        <w:left w:val="none" w:sz="0" w:space="0" w:color="auto"/>
        <w:bottom w:val="none" w:sz="0" w:space="0" w:color="auto"/>
        <w:right w:val="none" w:sz="0" w:space="0" w:color="auto"/>
      </w:divBdr>
    </w:div>
    <w:div w:id="1585610335">
      <w:bodyDiv w:val="1"/>
      <w:marLeft w:val="0"/>
      <w:marRight w:val="0"/>
      <w:marTop w:val="0"/>
      <w:marBottom w:val="0"/>
      <w:divBdr>
        <w:top w:val="none" w:sz="0" w:space="0" w:color="auto"/>
        <w:left w:val="none" w:sz="0" w:space="0" w:color="auto"/>
        <w:bottom w:val="none" w:sz="0" w:space="0" w:color="auto"/>
        <w:right w:val="none" w:sz="0" w:space="0" w:color="auto"/>
      </w:divBdr>
      <w:divsChild>
        <w:div w:id="699278097">
          <w:marLeft w:val="0"/>
          <w:marRight w:val="0"/>
          <w:marTop w:val="0"/>
          <w:marBottom w:val="0"/>
          <w:divBdr>
            <w:top w:val="none" w:sz="0" w:space="0" w:color="auto"/>
            <w:left w:val="none" w:sz="0" w:space="0" w:color="auto"/>
            <w:bottom w:val="none" w:sz="0" w:space="0" w:color="auto"/>
            <w:right w:val="none" w:sz="0" w:space="0" w:color="auto"/>
          </w:divBdr>
          <w:divsChild>
            <w:div w:id="1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7099">
      <w:bodyDiv w:val="1"/>
      <w:marLeft w:val="0"/>
      <w:marRight w:val="0"/>
      <w:marTop w:val="0"/>
      <w:marBottom w:val="0"/>
      <w:divBdr>
        <w:top w:val="none" w:sz="0" w:space="0" w:color="auto"/>
        <w:left w:val="none" w:sz="0" w:space="0" w:color="auto"/>
        <w:bottom w:val="none" w:sz="0" w:space="0" w:color="auto"/>
        <w:right w:val="none" w:sz="0" w:space="0" w:color="auto"/>
      </w:divBdr>
    </w:div>
    <w:div w:id="1593195416">
      <w:bodyDiv w:val="1"/>
      <w:marLeft w:val="0"/>
      <w:marRight w:val="0"/>
      <w:marTop w:val="0"/>
      <w:marBottom w:val="0"/>
      <w:divBdr>
        <w:top w:val="none" w:sz="0" w:space="0" w:color="auto"/>
        <w:left w:val="none" w:sz="0" w:space="0" w:color="auto"/>
        <w:bottom w:val="none" w:sz="0" w:space="0" w:color="auto"/>
        <w:right w:val="none" w:sz="0" w:space="0" w:color="auto"/>
      </w:divBdr>
    </w:div>
    <w:div w:id="1593397674">
      <w:bodyDiv w:val="1"/>
      <w:marLeft w:val="0"/>
      <w:marRight w:val="0"/>
      <w:marTop w:val="0"/>
      <w:marBottom w:val="0"/>
      <w:divBdr>
        <w:top w:val="none" w:sz="0" w:space="0" w:color="auto"/>
        <w:left w:val="none" w:sz="0" w:space="0" w:color="auto"/>
        <w:bottom w:val="none" w:sz="0" w:space="0" w:color="auto"/>
        <w:right w:val="none" w:sz="0" w:space="0" w:color="auto"/>
      </w:divBdr>
      <w:divsChild>
        <w:div w:id="1162963397">
          <w:marLeft w:val="0"/>
          <w:marRight w:val="0"/>
          <w:marTop w:val="0"/>
          <w:marBottom w:val="0"/>
          <w:divBdr>
            <w:top w:val="none" w:sz="0" w:space="0" w:color="auto"/>
            <w:left w:val="none" w:sz="0" w:space="0" w:color="auto"/>
            <w:bottom w:val="none" w:sz="0" w:space="0" w:color="auto"/>
            <w:right w:val="none" w:sz="0" w:space="0" w:color="auto"/>
          </w:divBdr>
          <w:divsChild>
            <w:div w:id="1713381216">
              <w:marLeft w:val="0"/>
              <w:marRight w:val="0"/>
              <w:marTop w:val="0"/>
              <w:marBottom w:val="0"/>
              <w:divBdr>
                <w:top w:val="none" w:sz="0" w:space="0" w:color="auto"/>
                <w:left w:val="none" w:sz="0" w:space="0" w:color="auto"/>
                <w:bottom w:val="none" w:sz="0" w:space="0" w:color="auto"/>
                <w:right w:val="none" w:sz="0" w:space="0" w:color="auto"/>
              </w:divBdr>
              <w:divsChild>
                <w:div w:id="780146882">
                  <w:marLeft w:val="0"/>
                  <w:marRight w:val="0"/>
                  <w:marTop w:val="0"/>
                  <w:marBottom w:val="0"/>
                  <w:divBdr>
                    <w:top w:val="none" w:sz="0" w:space="0" w:color="auto"/>
                    <w:left w:val="none" w:sz="0" w:space="0" w:color="auto"/>
                    <w:bottom w:val="none" w:sz="0" w:space="0" w:color="auto"/>
                    <w:right w:val="none" w:sz="0" w:space="0" w:color="auto"/>
                  </w:divBdr>
                  <w:divsChild>
                    <w:div w:id="1649548401">
                      <w:marLeft w:val="0"/>
                      <w:marRight w:val="0"/>
                      <w:marTop w:val="0"/>
                      <w:marBottom w:val="0"/>
                      <w:divBdr>
                        <w:top w:val="none" w:sz="0" w:space="0" w:color="auto"/>
                        <w:left w:val="none" w:sz="0" w:space="0" w:color="auto"/>
                        <w:bottom w:val="none" w:sz="0" w:space="0" w:color="auto"/>
                        <w:right w:val="none" w:sz="0" w:space="0" w:color="auto"/>
                      </w:divBdr>
                      <w:divsChild>
                        <w:div w:id="917176603">
                          <w:marLeft w:val="0"/>
                          <w:marRight w:val="0"/>
                          <w:marTop w:val="0"/>
                          <w:marBottom w:val="0"/>
                          <w:divBdr>
                            <w:top w:val="none" w:sz="0" w:space="0" w:color="auto"/>
                            <w:left w:val="none" w:sz="0" w:space="0" w:color="auto"/>
                            <w:bottom w:val="none" w:sz="0" w:space="0" w:color="auto"/>
                            <w:right w:val="none" w:sz="0" w:space="0" w:color="auto"/>
                          </w:divBdr>
                          <w:divsChild>
                            <w:div w:id="917594877">
                              <w:marLeft w:val="0"/>
                              <w:marRight w:val="0"/>
                              <w:marTop w:val="0"/>
                              <w:marBottom w:val="0"/>
                              <w:divBdr>
                                <w:top w:val="none" w:sz="0" w:space="0" w:color="auto"/>
                                <w:left w:val="none" w:sz="0" w:space="0" w:color="auto"/>
                                <w:bottom w:val="none" w:sz="0" w:space="0" w:color="auto"/>
                                <w:right w:val="none" w:sz="0" w:space="0" w:color="auto"/>
                              </w:divBdr>
                              <w:divsChild>
                                <w:div w:id="303238767">
                                  <w:marLeft w:val="0"/>
                                  <w:marRight w:val="0"/>
                                  <w:marTop w:val="0"/>
                                  <w:marBottom w:val="0"/>
                                  <w:divBdr>
                                    <w:top w:val="none" w:sz="0" w:space="0" w:color="auto"/>
                                    <w:left w:val="none" w:sz="0" w:space="0" w:color="auto"/>
                                    <w:bottom w:val="none" w:sz="0" w:space="0" w:color="auto"/>
                                    <w:right w:val="none" w:sz="0" w:space="0" w:color="auto"/>
                                  </w:divBdr>
                                  <w:divsChild>
                                    <w:div w:id="51538875">
                                      <w:marLeft w:val="0"/>
                                      <w:marRight w:val="0"/>
                                      <w:marTop w:val="0"/>
                                      <w:marBottom w:val="0"/>
                                      <w:divBdr>
                                        <w:top w:val="none" w:sz="0" w:space="0" w:color="auto"/>
                                        <w:left w:val="none" w:sz="0" w:space="0" w:color="auto"/>
                                        <w:bottom w:val="none" w:sz="0" w:space="0" w:color="auto"/>
                                        <w:right w:val="none" w:sz="0" w:space="0" w:color="auto"/>
                                      </w:divBdr>
                                      <w:divsChild>
                                        <w:div w:id="354039335">
                                          <w:marLeft w:val="0"/>
                                          <w:marRight w:val="0"/>
                                          <w:marTop w:val="0"/>
                                          <w:marBottom w:val="0"/>
                                          <w:divBdr>
                                            <w:top w:val="none" w:sz="0" w:space="0" w:color="auto"/>
                                            <w:left w:val="none" w:sz="0" w:space="0" w:color="auto"/>
                                            <w:bottom w:val="none" w:sz="0" w:space="0" w:color="auto"/>
                                            <w:right w:val="none" w:sz="0" w:space="0" w:color="auto"/>
                                          </w:divBdr>
                                          <w:divsChild>
                                            <w:div w:id="247692350">
                                              <w:marLeft w:val="0"/>
                                              <w:marRight w:val="0"/>
                                              <w:marTop w:val="0"/>
                                              <w:marBottom w:val="0"/>
                                              <w:divBdr>
                                                <w:top w:val="none" w:sz="0" w:space="0" w:color="auto"/>
                                                <w:left w:val="none" w:sz="0" w:space="0" w:color="auto"/>
                                                <w:bottom w:val="none" w:sz="0" w:space="0" w:color="auto"/>
                                                <w:right w:val="none" w:sz="0" w:space="0" w:color="auto"/>
                                              </w:divBdr>
                                              <w:divsChild>
                                                <w:div w:id="193468928">
                                                  <w:marLeft w:val="0"/>
                                                  <w:marRight w:val="0"/>
                                                  <w:marTop w:val="0"/>
                                                  <w:marBottom w:val="0"/>
                                                  <w:divBdr>
                                                    <w:top w:val="none" w:sz="0" w:space="0" w:color="auto"/>
                                                    <w:left w:val="none" w:sz="0" w:space="0" w:color="auto"/>
                                                    <w:bottom w:val="none" w:sz="0" w:space="0" w:color="auto"/>
                                                    <w:right w:val="none" w:sz="0" w:space="0" w:color="auto"/>
                                                  </w:divBdr>
                                                  <w:divsChild>
                                                    <w:div w:id="361053575">
                                                      <w:marLeft w:val="0"/>
                                                      <w:marRight w:val="0"/>
                                                      <w:marTop w:val="0"/>
                                                      <w:marBottom w:val="0"/>
                                                      <w:divBdr>
                                                        <w:top w:val="none" w:sz="0" w:space="0" w:color="auto"/>
                                                        <w:left w:val="none" w:sz="0" w:space="0" w:color="auto"/>
                                                        <w:bottom w:val="none" w:sz="0" w:space="0" w:color="auto"/>
                                                        <w:right w:val="none" w:sz="0" w:space="0" w:color="auto"/>
                                                      </w:divBdr>
                                                      <w:divsChild>
                                                        <w:div w:id="17735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134031">
      <w:bodyDiv w:val="1"/>
      <w:marLeft w:val="0"/>
      <w:marRight w:val="0"/>
      <w:marTop w:val="0"/>
      <w:marBottom w:val="0"/>
      <w:divBdr>
        <w:top w:val="none" w:sz="0" w:space="0" w:color="auto"/>
        <w:left w:val="none" w:sz="0" w:space="0" w:color="auto"/>
        <w:bottom w:val="none" w:sz="0" w:space="0" w:color="auto"/>
        <w:right w:val="none" w:sz="0" w:space="0" w:color="auto"/>
      </w:divBdr>
    </w:div>
    <w:div w:id="1603489470">
      <w:bodyDiv w:val="1"/>
      <w:marLeft w:val="0"/>
      <w:marRight w:val="0"/>
      <w:marTop w:val="0"/>
      <w:marBottom w:val="0"/>
      <w:divBdr>
        <w:top w:val="none" w:sz="0" w:space="0" w:color="auto"/>
        <w:left w:val="none" w:sz="0" w:space="0" w:color="auto"/>
        <w:bottom w:val="none" w:sz="0" w:space="0" w:color="auto"/>
        <w:right w:val="none" w:sz="0" w:space="0" w:color="auto"/>
      </w:divBdr>
      <w:divsChild>
        <w:div w:id="1746537252">
          <w:marLeft w:val="0"/>
          <w:marRight w:val="0"/>
          <w:marTop w:val="0"/>
          <w:marBottom w:val="0"/>
          <w:divBdr>
            <w:top w:val="none" w:sz="0" w:space="0" w:color="auto"/>
            <w:left w:val="none" w:sz="0" w:space="0" w:color="auto"/>
            <w:bottom w:val="none" w:sz="0" w:space="0" w:color="auto"/>
            <w:right w:val="none" w:sz="0" w:space="0" w:color="auto"/>
          </w:divBdr>
          <w:divsChild>
            <w:div w:id="1231959633">
              <w:marLeft w:val="0"/>
              <w:marRight w:val="0"/>
              <w:marTop w:val="0"/>
              <w:marBottom w:val="0"/>
              <w:divBdr>
                <w:top w:val="none" w:sz="0" w:space="0" w:color="auto"/>
                <w:left w:val="none" w:sz="0" w:space="0" w:color="auto"/>
                <w:bottom w:val="none" w:sz="0" w:space="0" w:color="auto"/>
                <w:right w:val="none" w:sz="0" w:space="0" w:color="auto"/>
              </w:divBdr>
              <w:divsChild>
                <w:div w:id="305858572">
                  <w:marLeft w:val="0"/>
                  <w:marRight w:val="0"/>
                  <w:marTop w:val="0"/>
                  <w:marBottom w:val="0"/>
                  <w:divBdr>
                    <w:top w:val="none" w:sz="0" w:space="0" w:color="auto"/>
                    <w:left w:val="none" w:sz="0" w:space="0" w:color="auto"/>
                    <w:bottom w:val="none" w:sz="0" w:space="0" w:color="auto"/>
                    <w:right w:val="none" w:sz="0" w:space="0" w:color="auto"/>
                  </w:divBdr>
                  <w:divsChild>
                    <w:div w:id="67532962">
                      <w:marLeft w:val="0"/>
                      <w:marRight w:val="0"/>
                      <w:marTop w:val="0"/>
                      <w:marBottom w:val="0"/>
                      <w:divBdr>
                        <w:top w:val="none" w:sz="0" w:space="0" w:color="auto"/>
                        <w:left w:val="none" w:sz="0" w:space="0" w:color="auto"/>
                        <w:bottom w:val="none" w:sz="0" w:space="0" w:color="auto"/>
                        <w:right w:val="none" w:sz="0" w:space="0" w:color="auto"/>
                      </w:divBdr>
                      <w:divsChild>
                        <w:div w:id="1973558381">
                          <w:marLeft w:val="0"/>
                          <w:marRight w:val="0"/>
                          <w:marTop w:val="0"/>
                          <w:marBottom w:val="0"/>
                          <w:divBdr>
                            <w:top w:val="none" w:sz="0" w:space="0" w:color="auto"/>
                            <w:left w:val="none" w:sz="0" w:space="0" w:color="auto"/>
                            <w:bottom w:val="none" w:sz="0" w:space="0" w:color="auto"/>
                            <w:right w:val="none" w:sz="0" w:space="0" w:color="auto"/>
                          </w:divBdr>
                          <w:divsChild>
                            <w:div w:id="70590986">
                              <w:marLeft w:val="0"/>
                              <w:marRight w:val="0"/>
                              <w:marTop w:val="0"/>
                              <w:marBottom w:val="0"/>
                              <w:divBdr>
                                <w:top w:val="none" w:sz="0" w:space="0" w:color="auto"/>
                                <w:left w:val="none" w:sz="0" w:space="0" w:color="auto"/>
                                <w:bottom w:val="none" w:sz="0" w:space="0" w:color="auto"/>
                                <w:right w:val="none" w:sz="0" w:space="0" w:color="auto"/>
                              </w:divBdr>
                              <w:divsChild>
                                <w:div w:id="2136558137">
                                  <w:marLeft w:val="0"/>
                                  <w:marRight w:val="0"/>
                                  <w:marTop w:val="0"/>
                                  <w:marBottom w:val="0"/>
                                  <w:divBdr>
                                    <w:top w:val="none" w:sz="0" w:space="0" w:color="auto"/>
                                    <w:left w:val="none" w:sz="0" w:space="0" w:color="auto"/>
                                    <w:bottom w:val="none" w:sz="0" w:space="0" w:color="auto"/>
                                    <w:right w:val="none" w:sz="0" w:space="0" w:color="auto"/>
                                  </w:divBdr>
                                  <w:divsChild>
                                    <w:div w:id="667516149">
                                      <w:marLeft w:val="0"/>
                                      <w:marRight w:val="0"/>
                                      <w:marTop w:val="0"/>
                                      <w:marBottom w:val="0"/>
                                      <w:divBdr>
                                        <w:top w:val="none" w:sz="0" w:space="0" w:color="auto"/>
                                        <w:left w:val="none" w:sz="0" w:space="0" w:color="auto"/>
                                        <w:bottom w:val="none" w:sz="0" w:space="0" w:color="auto"/>
                                        <w:right w:val="none" w:sz="0" w:space="0" w:color="auto"/>
                                      </w:divBdr>
                                      <w:divsChild>
                                        <w:div w:id="847795377">
                                          <w:marLeft w:val="0"/>
                                          <w:marRight w:val="0"/>
                                          <w:marTop w:val="0"/>
                                          <w:marBottom w:val="0"/>
                                          <w:divBdr>
                                            <w:top w:val="none" w:sz="0" w:space="0" w:color="auto"/>
                                            <w:left w:val="none" w:sz="0" w:space="0" w:color="auto"/>
                                            <w:bottom w:val="none" w:sz="0" w:space="0" w:color="auto"/>
                                            <w:right w:val="none" w:sz="0" w:space="0" w:color="auto"/>
                                          </w:divBdr>
                                          <w:divsChild>
                                            <w:div w:id="830565622">
                                              <w:marLeft w:val="0"/>
                                              <w:marRight w:val="0"/>
                                              <w:marTop w:val="0"/>
                                              <w:marBottom w:val="0"/>
                                              <w:divBdr>
                                                <w:top w:val="none" w:sz="0" w:space="0" w:color="auto"/>
                                                <w:left w:val="none" w:sz="0" w:space="0" w:color="auto"/>
                                                <w:bottom w:val="none" w:sz="0" w:space="0" w:color="auto"/>
                                                <w:right w:val="none" w:sz="0" w:space="0" w:color="auto"/>
                                              </w:divBdr>
                                              <w:divsChild>
                                                <w:div w:id="1674524033">
                                                  <w:marLeft w:val="0"/>
                                                  <w:marRight w:val="0"/>
                                                  <w:marTop w:val="0"/>
                                                  <w:marBottom w:val="0"/>
                                                  <w:divBdr>
                                                    <w:top w:val="none" w:sz="0" w:space="0" w:color="auto"/>
                                                    <w:left w:val="none" w:sz="0" w:space="0" w:color="auto"/>
                                                    <w:bottom w:val="none" w:sz="0" w:space="0" w:color="auto"/>
                                                    <w:right w:val="none" w:sz="0" w:space="0" w:color="auto"/>
                                                  </w:divBdr>
                                                  <w:divsChild>
                                                    <w:div w:id="220210848">
                                                      <w:marLeft w:val="0"/>
                                                      <w:marRight w:val="0"/>
                                                      <w:marTop w:val="0"/>
                                                      <w:marBottom w:val="0"/>
                                                      <w:divBdr>
                                                        <w:top w:val="none" w:sz="0" w:space="0" w:color="auto"/>
                                                        <w:left w:val="none" w:sz="0" w:space="0" w:color="auto"/>
                                                        <w:bottom w:val="none" w:sz="0" w:space="0" w:color="auto"/>
                                                        <w:right w:val="none" w:sz="0" w:space="0" w:color="auto"/>
                                                      </w:divBdr>
                                                      <w:divsChild>
                                                        <w:div w:id="13740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6592713">
      <w:bodyDiv w:val="1"/>
      <w:marLeft w:val="0"/>
      <w:marRight w:val="0"/>
      <w:marTop w:val="0"/>
      <w:marBottom w:val="0"/>
      <w:divBdr>
        <w:top w:val="none" w:sz="0" w:space="0" w:color="auto"/>
        <w:left w:val="none" w:sz="0" w:space="0" w:color="auto"/>
        <w:bottom w:val="none" w:sz="0" w:space="0" w:color="auto"/>
        <w:right w:val="none" w:sz="0" w:space="0" w:color="auto"/>
      </w:divBdr>
    </w:div>
    <w:div w:id="1636790847">
      <w:bodyDiv w:val="1"/>
      <w:marLeft w:val="0"/>
      <w:marRight w:val="0"/>
      <w:marTop w:val="0"/>
      <w:marBottom w:val="0"/>
      <w:divBdr>
        <w:top w:val="none" w:sz="0" w:space="0" w:color="auto"/>
        <w:left w:val="none" w:sz="0" w:space="0" w:color="auto"/>
        <w:bottom w:val="none" w:sz="0" w:space="0" w:color="auto"/>
        <w:right w:val="none" w:sz="0" w:space="0" w:color="auto"/>
      </w:divBdr>
      <w:divsChild>
        <w:div w:id="2001540570">
          <w:marLeft w:val="0"/>
          <w:marRight w:val="0"/>
          <w:marTop w:val="0"/>
          <w:marBottom w:val="0"/>
          <w:divBdr>
            <w:top w:val="none" w:sz="0" w:space="0" w:color="auto"/>
            <w:left w:val="none" w:sz="0" w:space="0" w:color="auto"/>
            <w:bottom w:val="none" w:sz="0" w:space="0" w:color="auto"/>
            <w:right w:val="none" w:sz="0" w:space="0" w:color="auto"/>
          </w:divBdr>
          <w:divsChild>
            <w:div w:id="775710480">
              <w:marLeft w:val="0"/>
              <w:marRight w:val="0"/>
              <w:marTop w:val="0"/>
              <w:marBottom w:val="0"/>
              <w:divBdr>
                <w:top w:val="none" w:sz="0" w:space="0" w:color="auto"/>
                <w:left w:val="none" w:sz="0" w:space="0" w:color="auto"/>
                <w:bottom w:val="none" w:sz="0" w:space="0" w:color="auto"/>
                <w:right w:val="none" w:sz="0" w:space="0" w:color="auto"/>
              </w:divBdr>
              <w:divsChild>
                <w:div w:id="60103656">
                  <w:marLeft w:val="0"/>
                  <w:marRight w:val="0"/>
                  <w:marTop w:val="0"/>
                  <w:marBottom w:val="0"/>
                  <w:divBdr>
                    <w:top w:val="none" w:sz="0" w:space="0" w:color="auto"/>
                    <w:left w:val="none" w:sz="0" w:space="0" w:color="auto"/>
                    <w:bottom w:val="none" w:sz="0" w:space="0" w:color="auto"/>
                    <w:right w:val="none" w:sz="0" w:space="0" w:color="auto"/>
                  </w:divBdr>
                  <w:divsChild>
                    <w:div w:id="1618442148">
                      <w:marLeft w:val="0"/>
                      <w:marRight w:val="0"/>
                      <w:marTop w:val="0"/>
                      <w:marBottom w:val="0"/>
                      <w:divBdr>
                        <w:top w:val="none" w:sz="0" w:space="0" w:color="auto"/>
                        <w:left w:val="none" w:sz="0" w:space="0" w:color="auto"/>
                        <w:bottom w:val="none" w:sz="0" w:space="0" w:color="auto"/>
                        <w:right w:val="none" w:sz="0" w:space="0" w:color="auto"/>
                      </w:divBdr>
                      <w:divsChild>
                        <w:div w:id="1453862381">
                          <w:marLeft w:val="0"/>
                          <w:marRight w:val="0"/>
                          <w:marTop w:val="0"/>
                          <w:marBottom w:val="0"/>
                          <w:divBdr>
                            <w:top w:val="none" w:sz="0" w:space="0" w:color="auto"/>
                            <w:left w:val="none" w:sz="0" w:space="0" w:color="auto"/>
                            <w:bottom w:val="none" w:sz="0" w:space="0" w:color="auto"/>
                            <w:right w:val="none" w:sz="0" w:space="0" w:color="auto"/>
                          </w:divBdr>
                          <w:divsChild>
                            <w:div w:id="797995905">
                              <w:marLeft w:val="0"/>
                              <w:marRight w:val="0"/>
                              <w:marTop w:val="0"/>
                              <w:marBottom w:val="0"/>
                              <w:divBdr>
                                <w:top w:val="none" w:sz="0" w:space="0" w:color="auto"/>
                                <w:left w:val="none" w:sz="0" w:space="0" w:color="auto"/>
                                <w:bottom w:val="none" w:sz="0" w:space="0" w:color="auto"/>
                                <w:right w:val="none" w:sz="0" w:space="0" w:color="auto"/>
                              </w:divBdr>
                              <w:divsChild>
                                <w:div w:id="1829249708">
                                  <w:marLeft w:val="0"/>
                                  <w:marRight w:val="0"/>
                                  <w:marTop w:val="0"/>
                                  <w:marBottom w:val="0"/>
                                  <w:divBdr>
                                    <w:top w:val="none" w:sz="0" w:space="0" w:color="auto"/>
                                    <w:left w:val="none" w:sz="0" w:space="0" w:color="auto"/>
                                    <w:bottom w:val="none" w:sz="0" w:space="0" w:color="auto"/>
                                    <w:right w:val="none" w:sz="0" w:space="0" w:color="auto"/>
                                  </w:divBdr>
                                  <w:divsChild>
                                    <w:div w:id="12051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84813">
      <w:bodyDiv w:val="1"/>
      <w:marLeft w:val="0"/>
      <w:marRight w:val="0"/>
      <w:marTop w:val="0"/>
      <w:marBottom w:val="0"/>
      <w:divBdr>
        <w:top w:val="none" w:sz="0" w:space="0" w:color="auto"/>
        <w:left w:val="none" w:sz="0" w:space="0" w:color="auto"/>
        <w:bottom w:val="none" w:sz="0" w:space="0" w:color="auto"/>
        <w:right w:val="none" w:sz="0" w:space="0" w:color="auto"/>
      </w:divBdr>
    </w:div>
    <w:div w:id="1714235029">
      <w:bodyDiv w:val="1"/>
      <w:marLeft w:val="0"/>
      <w:marRight w:val="0"/>
      <w:marTop w:val="0"/>
      <w:marBottom w:val="0"/>
      <w:divBdr>
        <w:top w:val="none" w:sz="0" w:space="0" w:color="auto"/>
        <w:left w:val="none" w:sz="0" w:space="0" w:color="auto"/>
        <w:bottom w:val="none" w:sz="0" w:space="0" w:color="auto"/>
        <w:right w:val="none" w:sz="0" w:space="0" w:color="auto"/>
      </w:divBdr>
    </w:div>
    <w:div w:id="1770541694">
      <w:bodyDiv w:val="1"/>
      <w:marLeft w:val="0"/>
      <w:marRight w:val="0"/>
      <w:marTop w:val="0"/>
      <w:marBottom w:val="0"/>
      <w:divBdr>
        <w:top w:val="none" w:sz="0" w:space="0" w:color="auto"/>
        <w:left w:val="none" w:sz="0" w:space="0" w:color="auto"/>
        <w:bottom w:val="none" w:sz="0" w:space="0" w:color="auto"/>
        <w:right w:val="none" w:sz="0" w:space="0" w:color="auto"/>
      </w:divBdr>
    </w:div>
    <w:div w:id="1793355052">
      <w:bodyDiv w:val="1"/>
      <w:marLeft w:val="0"/>
      <w:marRight w:val="0"/>
      <w:marTop w:val="0"/>
      <w:marBottom w:val="0"/>
      <w:divBdr>
        <w:top w:val="none" w:sz="0" w:space="0" w:color="auto"/>
        <w:left w:val="none" w:sz="0" w:space="0" w:color="auto"/>
        <w:bottom w:val="none" w:sz="0" w:space="0" w:color="auto"/>
        <w:right w:val="none" w:sz="0" w:space="0" w:color="auto"/>
      </w:divBdr>
    </w:div>
    <w:div w:id="1803575974">
      <w:bodyDiv w:val="1"/>
      <w:marLeft w:val="0"/>
      <w:marRight w:val="0"/>
      <w:marTop w:val="0"/>
      <w:marBottom w:val="0"/>
      <w:divBdr>
        <w:top w:val="none" w:sz="0" w:space="0" w:color="auto"/>
        <w:left w:val="none" w:sz="0" w:space="0" w:color="auto"/>
        <w:bottom w:val="none" w:sz="0" w:space="0" w:color="auto"/>
        <w:right w:val="none" w:sz="0" w:space="0" w:color="auto"/>
      </w:divBdr>
    </w:div>
    <w:div w:id="1846086980">
      <w:bodyDiv w:val="1"/>
      <w:marLeft w:val="0"/>
      <w:marRight w:val="0"/>
      <w:marTop w:val="0"/>
      <w:marBottom w:val="0"/>
      <w:divBdr>
        <w:top w:val="none" w:sz="0" w:space="0" w:color="auto"/>
        <w:left w:val="none" w:sz="0" w:space="0" w:color="auto"/>
        <w:bottom w:val="none" w:sz="0" w:space="0" w:color="auto"/>
        <w:right w:val="none" w:sz="0" w:space="0" w:color="auto"/>
      </w:divBdr>
      <w:divsChild>
        <w:div w:id="344092163">
          <w:marLeft w:val="0"/>
          <w:marRight w:val="0"/>
          <w:marTop w:val="0"/>
          <w:marBottom w:val="0"/>
          <w:divBdr>
            <w:top w:val="none" w:sz="0" w:space="0" w:color="auto"/>
            <w:left w:val="none" w:sz="0" w:space="0" w:color="auto"/>
            <w:bottom w:val="none" w:sz="0" w:space="0" w:color="auto"/>
            <w:right w:val="none" w:sz="0" w:space="0" w:color="auto"/>
          </w:divBdr>
          <w:divsChild>
            <w:div w:id="923298791">
              <w:marLeft w:val="0"/>
              <w:marRight w:val="0"/>
              <w:marTop w:val="0"/>
              <w:marBottom w:val="0"/>
              <w:divBdr>
                <w:top w:val="none" w:sz="0" w:space="0" w:color="auto"/>
                <w:left w:val="none" w:sz="0" w:space="0" w:color="auto"/>
                <w:bottom w:val="none" w:sz="0" w:space="0" w:color="auto"/>
                <w:right w:val="none" w:sz="0" w:space="0" w:color="auto"/>
              </w:divBdr>
              <w:divsChild>
                <w:div w:id="2892130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0903242">
          <w:marLeft w:val="0"/>
          <w:marRight w:val="0"/>
          <w:marTop w:val="0"/>
          <w:marBottom w:val="0"/>
          <w:divBdr>
            <w:top w:val="none" w:sz="0" w:space="0" w:color="auto"/>
            <w:left w:val="none" w:sz="0" w:space="0" w:color="auto"/>
            <w:bottom w:val="none" w:sz="0" w:space="0" w:color="auto"/>
            <w:right w:val="none" w:sz="0" w:space="0" w:color="auto"/>
          </w:divBdr>
          <w:divsChild>
            <w:div w:id="20423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43160">
      <w:bodyDiv w:val="1"/>
      <w:marLeft w:val="0"/>
      <w:marRight w:val="0"/>
      <w:marTop w:val="0"/>
      <w:marBottom w:val="0"/>
      <w:divBdr>
        <w:top w:val="none" w:sz="0" w:space="0" w:color="auto"/>
        <w:left w:val="none" w:sz="0" w:space="0" w:color="auto"/>
        <w:bottom w:val="none" w:sz="0" w:space="0" w:color="auto"/>
        <w:right w:val="none" w:sz="0" w:space="0" w:color="auto"/>
      </w:divBdr>
    </w:div>
    <w:div w:id="1864633555">
      <w:bodyDiv w:val="1"/>
      <w:marLeft w:val="0"/>
      <w:marRight w:val="0"/>
      <w:marTop w:val="0"/>
      <w:marBottom w:val="0"/>
      <w:divBdr>
        <w:top w:val="none" w:sz="0" w:space="0" w:color="auto"/>
        <w:left w:val="none" w:sz="0" w:space="0" w:color="auto"/>
        <w:bottom w:val="none" w:sz="0" w:space="0" w:color="auto"/>
        <w:right w:val="none" w:sz="0" w:space="0" w:color="auto"/>
      </w:divBdr>
    </w:div>
    <w:div w:id="1866401757">
      <w:bodyDiv w:val="1"/>
      <w:marLeft w:val="0"/>
      <w:marRight w:val="0"/>
      <w:marTop w:val="0"/>
      <w:marBottom w:val="0"/>
      <w:divBdr>
        <w:top w:val="none" w:sz="0" w:space="0" w:color="auto"/>
        <w:left w:val="none" w:sz="0" w:space="0" w:color="auto"/>
        <w:bottom w:val="none" w:sz="0" w:space="0" w:color="auto"/>
        <w:right w:val="none" w:sz="0" w:space="0" w:color="auto"/>
      </w:divBdr>
    </w:div>
    <w:div w:id="1866747545">
      <w:bodyDiv w:val="1"/>
      <w:marLeft w:val="0"/>
      <w:marRight w:val="0"/>
      <w:marTop w:val="0"/>
      <w:marBottom w:val="0"/>
      <w:divBdr>
        <w:top w:val="none" w:sz="0" w:space="0" w:color="auto"/>
        <w:left w:val="none" w:sz="0" w:space="0" w:color="auto"/>
        <w:bottom w:val="none" w:sz="0" w:space="0" w:color="auto"/>
        <w:right w:val="none" w:sz="0" w:space="0" w:color="auto"/>
      </w:divBdr>
    </w:div>
    <w:div w:id="1873108857">
      <w:bodyDiv w:val="1"/>
      <w:marLeft w:val="0"/>
      <w:marRight w:val="0"/>
      <w:marTop w:val="0"/>
      <w:marBottom w:val="0"/>
      <w:divBdr>
        <w:top w:val="none" w:sz="0" w:space="0" w:color="auto"/>
        <w:left w:val="none" w:sz="0" w:space="0" w:color="auto"/>
        <w:bottom w:val="none" w:sz="0" w:space="0" w:color="auto"/>
        <w:right w:val="none" w:sz="0" w:space="0" w:color="auto"/>
      </w:divBdr>
    </w:div>
    <w:div w:id="1908031701">
      <w:bodyDiv w:val="1"/>
      <w:marLeft w:val="0"/>
      <w:marRight w:val="0"/>
      <w:marTop w:val="0"/>
      <w:marBottom w:val="0"/>
      <w:divBdr>
        <w:top w:val="none" w:sz="0" w:space="0" w:color="auto"/>
        <w:left w:val="none" w:sz="0" w:space="0" w:color="auto"/>
        <w:bottom w:val="none" w:sz="0" w:space="0" w:color="auto"/>
        <w:right w:val="none" w:sz="0" w:space="0" w:color="auto"/>
      </w:divBdr>
    </w:div>
    <w:div w:id="1965651011">
      <w:bodyDiv w:val="1"/>
      <w:marLeft w:val="0"/>
      <w:marRight w:val="0"/>
      <w:marTop w:val="0"/>
      <w:marBottom w:val="0"/>
      <w:divBdr>
        <w:top w:val="none" w:sz="0" w:space="0" w:color="auto"/>
        <w:left w:val="none" w:sz="0" w:space="0" w:color="auto"/>
        <w:bottom w:val="none" w:sz="0" w:space="0" w:color="auto"/>
        <w:right w:val="none" w:sz="0" w:space="0" w:color="auto"/>
      </w:divBdr>
      <w:divsChild>
        <w:div w:id="54206569">
          <w:marLeft w:val="0"/>
          <w:marRight w:val="0"/>
          <w:marTop w:val="0"/>
          <w:marBottom w:val="0"/>
          <w:divBdr>
            <w:top w:val="none" w:sz="0" w:space="0" w:color="auto"/>
            <w:left w:val="none" w:sz="0" w:space="0" w:color="auto"/>
            <w:bottom w:val="none" w:sz="0" w:space="0" w:color="auto"/>
            <w:right w:val="none" w:sz="0" w:space="0" w:color="auto"/>
          </w:divBdr>
          <w:divsChild>
            <w:div w:id="786387633">
              <w:marLeft w:val="0"/>
              <w:marRight w:val="0"/>
              <w:marTop w:val="0"/>
              <w:marBottom w:val="0"/>
              <w:divBdr>
                <w:top w:val="none" w:sz="0" w:space="0" w:color="auto"/>
                <w:left w:val="none" w:sz="0" w:space="0" w:color="auto"/>
                <w:bottom w:val="none" w:sz="0" w:space="0" w:color="auto"/>
                <w:right w:val="none" w:sz="0" w:space="0" w:color="auto"/>
              </w:divBdr>
              <w:divsChild>
                <w:div w:id="541284780">
                  <w:marLeft w:val="0"/>
                  <w:marRight w:val="0"/>
                  <w:marTop w:val="0"/>
                  <w:marBottom w:val="0"/>
                  <w:divBdr>
                    <w:top w:val="none" w:sz="0" w:space="0" w:color="auto"/>
                    <w:left w:val="none" w:sz="0" w:space="0" w:color="auto"/>
                    <w:bottom w:val="none" w:sz="0" w:space="0" w:color="auto"/>
                    <w:right w:val="none" w:sz="0" w:space="0" w:color="auto"/>
                  </w:divBdr>
                  <w:divsChild>
                    <w:div w:id="1813674727">
                      <w:marLeft w:val="0"/>
                      <w:marRight w:val="0"/>
                      <w:marTop w:val="0"/>
                      <w:marBottom w:val="0"/>
                      <w:divBdr>
                        <w:top w:val="none" w:sz="0" w:space="0" w:color="auto"/>
                        <w:left w:val="none" w:sz="0" w:space="0" w:color="auto"/>
                        <w:bottom w:val="none" w:sz="0" w:space="0" w:color="auto"/>
                        <w:right w:val="none" w:sz="0" w:space="0" w:color="auto"/>
                      </w:divBdr>
                      <w:divsChild>
                        <w:div w:id="387655949">
                          <w:marLeft w:val="0"/>
                          <w:marRight w:val="0"/>
                          <w:marTop w:val="0"/>
                          <w:marBottom w:val="0"/>
                          <w:divBdr>
                            <w:top w:val="none" w:sz="0" w:space="0" w:color="auto"/>
                            <w:left w:val="none" w:sz="0" w:space="0" w:color="auto"/>
                            <w:bottom w:val="none" w:sz="0" w:space="0" w:color="auto"/>
                            <w:right w:val="none" w:sz="0" w:space="0" w:color="auto"/>
                          </w:divBdr>
                          <w:divsChild>
                            <w:div w:id="1990400676">
                              <w:marLeft w:val="0"/>
                              <w:marRight w:val="0"/>
                              <w:marTop w:val="0"/>
                              <w:marBottom w:val="0"/>
                              <w:divBdr>
                                <w:top w:val="none" w:sz="0" w:space="0" w:color="auto"/>
                                <w:left w:val="none" w:sz="0" w:space="0" w:color="auto"/>
                                <w:bottom w:val="none" w:sz="0" w:space="0" w:color="auto"/>
                                <w:right w:val="none" w:sz="0" w:space="0" w:color="auto"/>
                              </w:divBdr>
                              <w:divsChild>
                                <w:div w:id="2073233458">
                                  <w:marLeft w:val="0"/>
                                  <w:marRight w:val="0"/>
                                  <w:marTop w:val="0"/>
                                  <w:marBottom w:val="0"/>
                                  <w:divBdr>
                                    <w:top w:val="none" w:sz="0" w:space="0" w:color="auto"/>
                                    <w:left w:val="none" w:sz="0" w:space="0" w:color="auto"/>
                                    <w:bottom w:val="none" w:sz="0" w:space="0" w:color="auto"/>
                                    <w:right w:val="none" w:sz="0" w:space="0" w:color="auto"/>
                                  </w:divBdr>
                                  <w:divsChild>
                                    <w:div w:id="15992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109607">
      <w:bodyDiv w:val="1"/>
      <w:marLeft w:val="0"/>
      <w:marRight w:val="0"/>
      <w:marTop w:val="0"/>
      <w:marBottom w:val="0"/>
      <w:divBdr>
        <w:top w:val="none" w:sz="0" w:space="0" w:color="auto"/>
        <w:left w:val="none" w:sz="0" w:space="0" w:color="auto"/>
        <w:bottom w:val="none" w:sz="0" w:space="0" w:color="auto"/>
        <w:right w:val="none" w:sz="0" w:space="0" w:color="auto"/>
      </w:divBdr>
      <w:divsChild>
        <w:div w:id="2111122058">
          <w:marLeft w:val="0"/>
          <w:marRight w:val="0"/>
          <w:marTop w:val="0"/>
          <w:marBottom w:val="0"/>
          <w:divBdr>
            <w:top w:val="none" w:sz="0" w:space="0" w:color="auto"/>
            <w:left w:val="none" w:sz="0" w:space="0" w:color="auto"/>
            <w:bottom w:val="none" w:sz="0" w:space="0" w:color="auto"/>
            <w:right w:val="none" w:sz="0" w:space="0" w:color="auto"/>
          </w:divBdr>
          <w:divsChild>
            <w:div w:id="1437166092">
              <w:marLeft w:val="0"/>
              <w:marRight w:val="0"/>
              <w:marTop w:val="0"/>
              <w:marBottom w:val="0"/>
              <w:divBdr>
                <w:top w:val="none" w:sz="0" w:space="0" w:color="auto"/>
                <w:left w:val="none" w:sz="0" w:space="0" w:color="auto"/>
                <w:bottom w:val="none" w:sz="0" w:space="0" w:color="auto"/>
                <w:right w:val="none" w:sz="0" w:space="0" w:color="auto"/>
              </w:divBdr>
              <w:divsChild>
                <w:div w:id="390270949">
                  <w:marLeft w:val="0"/>
                  <w:marRight w:val="0"/>
                  <w:marTop w:val="0"/>
                  <w:marBottom w:val="0"/>
                  <w:divBdr>
                    <w:top w:val="none" w:sz="0" w:space="0" w:color="auto"/>
                    <w:left w:val="none" w:sz="0" w:space="0" w:color="auto"/>
                    <w:bottom w:val="none" w:sz="0" w:space="0" w:color="auto"/>
                    <w:right w:val="none" w:sz="0" w:space="0" w:color="auto"/>
                  </w:divBdr>
                  <w:divsChild>
                    <w:div w:id="209343281">
                      <w:marLeft w:val="0"/>
                      <w:marRight w:val="0"/>
                      <w:marTop w:val="0"/>
                      <w:marBottom w:val="0"/>
                      <w:divBdr>
                        <w:top w:val="none" w:sz="0" w:space="0" w:color="auto"/>
                        <w:left w:val="none" w:sz="0" w:space="0" w:color="auto"/>
                        <w:bottom w:val="none" w:sz="0" w:space="0" w:color="auto"/>
                        <w:right w:val="none" w:sz="0" w:space="0" w:color="auto"/>
                      </w:divBdr>
                      <w:divsChild>
                        <w:div w:id="292448704">
                          <w:marLeft w:val="0"/>
                          <w:marRight w:val="0"/>
                          <w:marTop w:val="0"/>
                          <w:marBottom w:val="0"/>
                          <w:divBdr>
                            <w:top w:val="none" w:sz="0" w:space="0" w:color="auto"/>
                            <w:left w:val="none" w:sz="0" w:space="0" w:color="auto"/>
                            <w:bottom w:val="none" w:sz="0" w:space="0" w:color="auto"/>
                            <w:right w:val="none" w:sz="0" w:space="0" w:color="auto"/>
                          </w:divBdr>
                          <w:divsChild>
                            <w:div w:id="719323537">
                              <w:marLeft w:val="0"/>
                              <w:marRight w:val="0"/>
                              <w:marTop w:val="0"/>
                              <w:marBottom w:val="0"/>
                              <w:divBdr>
                                <w:top w:val="none" w:sz="0" w:space="0" w:color="auto"/>
                                <w:left w:val="none" w:sz="0" w:space="0" w:color="auto"/>
                                <w:bottom w:val="none" w:sz="0" w:space="0" w:color="auto"/>
                                <w:right w:val="none" w:sz="0" w:space="0" w:color="auto"/>
                              </w:divBdr>
                              <w:divsChild>
                                <w:div w:id="1654797360">
                                  <w:marLeft w:val="0"/>
                                  <w:marRight w:val="0"/>
                                  <w:marTop w:val="0"/>
                                  <w:marBottom w:val="0"/>
                                  <w:divBdr>
                                    <w:top w:val="none" w:sz="0" w:space="0" w:color="auto"/>
                                    <w:left w:val="none" w:sz="0" w:space="0" w:color="auto"/>
                                    <w:bottom w:val="none" w:sz="0" w:space="0" w:color="auto"/>
                                    <w:right w:val="none" w:sz="0" w:space="0" w:color="auto"/>
                                  </w:divBdr>
                                  <w:divsChild>
                                    <w:div w:id="15718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594692">
      <w:bodyDiv w:val="1"/>
      <w:marLeft w:val="0"/>
      <w:marRight w:val="0"/>
      <w:marTop w:val="0"/>
      <w:marBottom w:val="0"/>
      <w:divBdr>
        <w:top w:val="none" w:sz="0" w:space="0" w:color="auto"/>
        <w:left w:val="none" w:sz="0" w:space="0" w:color="auto"/>
        <w:bottom w:val="none" w:sz="0" w:space="0" w:color="auto"/>
        <w:right w:val="none" w:sz="0" w:space="0" w:color="auto"/>
      </w:divBdr>
    </w:div>
    <w:div w:id="212299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microsoft.com/office/2014/relationships/chartEx" Target="charts/chartEx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4/relationships/chartEx" Target="charts/chartEx2.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microsoft.com/office/2014/relationships/chartEx" Target="charts/chartEx1.xml"/><Relationship Id="rId22" Type="http://schemas.microsoft.com/office/2014/relationships/chartEx" Target="charts/chartEx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D:\WORKBOOK\2025Q1\WB\Book1.xlsx" TargetMode="External"/><Relationship Id="rId2" Type="http://schemas.microsoft.com/office/2011/relationships/chartColorStyle" Target="colors7.xml"/><Relationship Id="rId1" Type="http://schemas.microsoft.com/office/2011/relationships/chartStyle" Target="style7.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WORKBOOK\2025Q1\WB\Book1.xlsx" TargetMode="External"/><Relationship Id="rId4" Type="http://schemas.openxmlformats.org/officeDocument/2006/relationships/themeOverride" Target="../theme/themeOverride4.xm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WORKBOOK\2025Q1\WB\Book1.xlsx" TargetMode="External"/><Relationship Id="rId4" Type="http://schemas.openxmlformats.org/officeDocument/2006/relationships/themeOverride" Target="../theme/themeOverride5.xml"/></Relationships>
</file>

<file path=word/charts/_rels/chartEx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WORKBOOK\2025Q1\WB\Book1.xlsx" TargetMode="External"/><Relationship Id="rId4" Type="http://schemas.openxmlformats.org/officeDocument/2006/relationships/themeOverride" Target="../theme/themeOverride6.xml"/></Relationships>
</file>

<file path=word/charts/_rels/chartEx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D:\WORKBOOK\2025Q1\WB\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solidFill>
                  <a:sysClr val="windowText" lastClr="000000"/>
                </a:solidFill>
              </a:rPr>
              <a:t>EMPLOYED LABOUR FORCE BY  AGE GROUP AND SEX- 1 Qtr 2025</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L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'emp by sex and age'!$C$50</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'emp by sex and age'!$B$51:$B$61</c:f>
              <c:strCache>
                <c:ptCount val="11"/>
                <c:pt idx="0">
                  <c:v>15-19 Years</c:v>
                </c:pt>
                <c:pt idx="1">
                  <c:v>20-24 Years</c:v>
                </c:pt>
                <c:pt idx="2">
                  <c:v>25-29 Years</c:v>
                </c:pt>
                <c:pt idx="3">
                  <c:v>30-34 Years</c:v>
                </c:pt>
                <c:pt idx="4">
                  <c:v>35-39 Years</c:v>
                </c:pt>
                <c:pt idx="5">
                  <c:v>40-44 Years</c:v>
                </c:pt>
                <c:pt idx="6">
                  <c:v>45-49 Years</c:v>
                </c:pt>
                <c:pt idx="7">
                  <c:v>50-54 Years</c:v>
                </c:pt>
                <c:pt idx="8">
                  <c:v>55-59 Years</c:v>
                </c:pt>
                <c:pt idx="9">
                  <c:v>60-64 Years</c:v>
                </c:pt>
                <c:pt idx="10">
                  <c:v>Over 65 Years</c:v>
                </c:pt>
              </c:strCache>
              <c:extLst/>
            </c:strRef>
          </c:cat>
          <c:val>
            <c:numRef>
              <c:f>'emp by sex and age'!$C$51:$C$61</c:f>
              <c:numCache>
                <c:formatCode>###0</c:formatCode>
                <c:ptCount val="11"/>
                <c:pt idx="0">
                  <c:v>363.360173302249</c:v>
                </c:pt>
                <c:pt idx="1">
                  <c:v>5066.6788217581297</c:v>
                </c:pt>
                <c:pt idx="2">
                  <c:v>4796.5703743476079</c:v>
                </c:pt>
                <c:pt idx="3">
                  <c:v>4141.6635034100073</c:v>
                </c:pt>
                <c:pt idx="4">
                  <c:v>5353.9365831178166</c:v>
                </c:pt>
                <c:pt idx="5">
                  <c:v>4955.2057086271616</c:v>
                </c:pt>
                <c:pt idx="6">
                  <c:v>5367.8716065427943</c:v>
                </c:pt>
                <c:pt idx="7">
                  <c:v>5854.4964129361879</c:v>
                </c:pt>
                <c:pt idx="8">
                  <c:v>5786.9686579682038</c:v>
                </c:pt>
                <c:pt idx="9">
                  <c:v>5103.1222393519674</c:v>
                </c:pt>
                <c:pt idx="10">
                  <c:v>3665.7594299174084</c:v>
                </c:pt>
              </c:numCache>
              <c:extLst/>
            </c:numRef>
          </c:val>
          <c:extLst>
            <c:ext xmlns:c16="http://schemas.microsoft.com/office/drawing/2014/chart" uri="{C3380CC4-5D6E-409C-BE32-E72D297353CC}">
              <c16:uniqueId val="{00000000-1627-474F-8A70-CBF5389ED497}"/>
            </c:ext>
          </c:extLst>
        </c:ser>
        <c:ser>
          <c:idx val="1"/>
          <c:order val="1"/>
          <c:tx>
            <c:strRef>
              <c:f>'emp by sex and age'!$D$50</c:f>
              <c:strCache>
                <c:ptCount val="1"/>
                <c:pt idx="0">
                  <c:v>Female</c:v>
                </c:pt>
              </c:strCache>
            </c:strRef>
          </c:tx>
          <c:spPr>
            <a:solidFill>
              <a:srgbClr val="92D050"/>
            </a:solidFill>
            <a:ln>
              <a:noFill/>
            </a:ln>
            <a:effectLst/>
            <a:sp3d/>
          </c:spPr>
          <c:invertIfNegative val="0"/>
          <c:cat>
            <c:strRef>
              <c:f>'emp by sex and age'!$B$51:$B$61</c:f>
              <c:strCache>
                <c:ptCount val="11"/>
                <c:pt idx="0">
                  <c:v>15-19 Years</c:v>
                </c:pt>
                <c:pt idx="1">
                  <c:v>20-24 Years</c:v>
                </c:pt>
                <c:pt idx="2">
                  <c:v>25-29 Years</c:v>
                </c:pt>
                <c:pt idx="3">
                  <c:v>30-34 Years</c:v>
                </c:pt>
                <c:pt idx="4">
                  <c:v>35-39 Years</c:v>
                </c:pt>
                <c:pt idx="5">
                  <c:v>40-44 Years</c:v>
                </c:pt>
                <c:pt idx="6">
                  <c:v>45-49 Years</c:v>
                </c:pt>
                <c:pt idx="7">
                  <c:v>50-54 Years</c:v>
                </c:pt>
                <c:pt idx="8">
                  <c:v>55-59 Years</c:v>
                </c:pt>
                <c:pt idx="9">
                  <c:v>60-64 Years</c:v>
                </c:pt>
                <c:pt idx="10">
                  <c:v>Over 65 Years</c:v>
                </c:pt>
              </c:strCache>
              <c:extLst/>
            </c:strRef>
          </c:cat>
          <c:val>
            <c:numRef>
              <c:f>'emp by sex and age'!$D$51:$D$61</c:f>
              <c:numCache>
                <c:formatCode>###0</c:formatCode>
                <c:ptCount val="11"/>
                <c:pt idx="0">
                  <c:v>302.26421495939258</c:v>
                </c:pt>
                <c:pt idx="1">
                  <c:v>3621.8121424083656</c:v>
                </c:pt>
                <c:pt idx="2">
                  <c:v>4987.3614761760291</c:v>
                </c:pt>
                <c:pt idx="3">
                  <c:v>5799.8309649877538</c:v>
                </c:pt>
                <c:pt idx="4">
                  <c:v>5237.1043897671489</c:v>
                </c:pt>
                <c:pt idx="5">
                  <c:v>4591.845535324911</c:v>
                </c:pt>
                <c:pt idx="6">
                  <c:v>5241.3920398121154</c:v>
                </c:pt>
                <c:pt idx="7">
                  <c:v>5676.5669750119605</c:v>
                </c:pt>
                <c:pt idx="8">
                  <c:v>5300.3444946901645</c:v>
                </c:pt>
                <c:pt idx="9">
                  <c:v>3810.4584545412795</c:v>
                </c:pt>
                <c:pt idx="10">
                  <c:v>2008.6646847450947</c:v>
                </c:pt>
              </c:numCache>
              <c:extLst/>
            </c:numRef>
          </c:val>
          <c:extLst>
            <c:ext xmlns:c16="http://schemas.microsoft.com/office/drawing/2014/chart" uri="{C3380CC4-5D6E-409C-BE32-E72D297353CC}">
              <c16:uniqueId val="{00000001-1627-474F-8A70-CBF5389ED497}"/>
            </c:ext>
          </c:extLst>
        </c:ser>
        <c:dLbls>
          <c:showLegendKey val="0"/>
          <c:showVal val="0"/>
          <c:showCatName val="0"/>
          <c:showSerName val="0"/>
          <c:showPercent val="0"/>
          <c:showBubbleSize val="0"/>
        </c:dLbls>
        <c:gapWidth val="150"/>
        <c:shape val="box"/>
        <c:axId val="186276687"/>
        <c:axId val="186278127"/>
        <c:axId val="414739967"/>
        <c:extLst>
          <c:ext xmlns:c15="http://schemas.microsoft.com/office/drawing/2012/chart" uri="{02D57815-91ED-43cb-92C2-25804820EDAC}">
            <c15:filteredBarSeries>
              <c15:ser>
                <c:idx val="2"/>
                <c:order val="2"/>
                <c:tx>
                  <c:strRef>
                    <c:extLst>
                      <c:ext uri="{02D57815-91ED-43cb-92C2-25804820EDAC}">
                        <c15:formulaRef>
                          <c15:sqref>'emp by sex and age'!$E$50</c15:sqref>
                        </c15:formulaRef>
                      </c:ext>
                    </c:extLst>
                    <c:strCache>
                      <c:ptCount val="1"/>
                      <c:pt idx="0">
                        <c:v>Total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extLst>
                      <c:ext uri="{02D57815-91ED-43cb-92C2-25804820EDAC}">
                        <c15:formulaRef>
                          <c15:sqref>'emp by sex and age'!$B$51:$B$61</c15:sqref>
                        </c15:formulaRef>
                      </c:ext>
                    </c:extLst>
                    <c:strCache>
                      <c:ptCount val="11"/>
                      <c:pt idx="0">
                        <c:v>15-19 Years</c:v>
                      </c:pt>
                      <c:pt idx="1">
                        <c:v>20-24 Years</c:v>
                      </c:pt>
                      <c:pt idx="2">
                        <c:v>25-29 Years</c:v>
                      </c:pt>
                      <c:pt idx="3">
                        <c:v>30-34 Years</c:v>
                      </c:pt>
                      <c:pt idx="4">
                        <c:v>35-39 Years</c:v>
                      </c:pt>
                      <c:pt idx="5">
                        <c:v>40-44 Years</c:v>
                      </c:pt>
                      <c:pt idx="6">
                        <c:v>45-49 Years</c:v>
                      </c:pt>
                      <c:pt idx="7">
                        <c:v>50-54 Years</c:v>
                      </c:pt>
                      <c:pt idx="8">
                        <c:v>55-59 Years</c:v>
                      </c:pt>
                      <c:pt idx="9">
                        <c:v>60-64 Years</c:v>
                      </c:pt>
                      <c:pt idx="10">
                        <c:v>Over 65 Years</c:v>
                      </c:pt>
                    </c:strCache>
                  </c:strRef>
                </c:cat>
                <c:val>
                  <c:numRef>
                    <c:extLst>
                      <c:ext uri="{02D57815-91ED-43cb-92C2-25804820EDAC}">
                        <c15:formulaRef>
                          <c15:sqref>'emp by sex and age'!$E$51:$E$61</c15:sqref>
                        </c15:formulaRef>
                      </c:ext>
                    </c:extLst>
                    <c:numCache>
                      <c:formatCode>###0</c:formatCode>
                      <c:ptCount val="11"/>
                      <c:pt idx="0">
                        <c:v>665.62438826164112</c:v>
                      </c:pt>
                      <c:pt idx="1">
                        <c:v>8688.4909641664981</c:v>
                      </c:pt>
                      <c:pt idx="2">
                        <c:v>9783.9318505236442</c:v>
                      </c:pt>
                      <c:pt idx="3">
                        <c:v>9941.4944683977592</c:v>
                      </c:pt>
                      <c:pt idx="4">
                        <c:v>10591.040972884963</c:v>
                      </c:pt>
                      <c:pt idx="5">
                        <c:v>9547.0512439520717</c:v>
                      </c:pt>
                      <c:pt idx="6">
                        <c:v>10609.263646354917</c:v>
                      </c:pt>
                      <c:pt idx="7">
                        <c:v>11531.063387948152</c:v>
                      </c:pt>
                      <c:pt idx="8">
                        <c:v>11087.313152658369</c:v>
                      </c:pt>
                      <c:pt idx="9">
                        <c:v>8913.5806938932474</c:v>
                      </c:pt>
                      <c:pt idx="10">
                        <c:v>5674.4241146625045</c:v>
                      </c:pt>
                    </c:numCache>
                  </c:numRef>
                </c:val>
                <c:extLst>
                  <c:ext xmlns:c16="http://schemas.microsoft.com/office/drawing/2014/chart" uri="{C3380CC4-5D6E-409C-BE32-E72D297353CC}">
                    <c16:uniqueId val="{00000002-1627-474F-8A70-CBF5389ED497}"/>
                  </c:ext>
                </c:extLst>
              </c15:ser>
            </c15:filteredBarSeries>
          </c:ext>
        </c:extLst>
      </c:bar3DChart>
      <c:catAx>
        <c:axId val="18627668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crossAx val="186278127"/>
        <c:crosses val="autoZero"/>
        <c:auto val="1"/>
        <c:lblAlgn val="ctr"/>
        <c:lblOffset val="100"/>
        <c:noMultiLvlLbl val="0"/>
      </c:catAx>
      <c:valAx>
        <c:axId val="186278127"/>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crossAx val="186276687"/>
        <c:crosses val="autoZero"/>
        <c:crossBetween val="between"/>
      </c:valAx>
      <c:serAx>
        <c:axId val="414739967"/>
        <c:scaling>
          <c:orientation val="minMax"/>
        </c:scaling>
        <c:delete val="1"/>
        <c:axPos val="b"/>
        <c:majorTickMark val="none"/>
        <c:minorTickMark val="none"/>
        <c:tickLblPos val="nextTo"/>
        <c:crossAx val="186278127"/>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LC"/>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r>
              <a:rPr lang="en-US" b="1">
                <a:solidFill>
                  <a:sysClr val="windowText" lastClr="000000"/>
                </a:solidFill>
              </a:rPr>
              <a:t>EMPLOYED LABOUR FORCE BY INDUSTRY GROUP </a:t>
            </a:r>
          </a:p>
        </c:rich>
      </c:tx>
      <c:layout>
        <c:manualLayout>
          <c:xMode val="edge"/>
          <c:yMode val="edge"/>
          <c:x val="0.43469288733449263"/>
          <c:y val="1.5349194167306216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endParaRPr lang="en-L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'INDUSTRY Q1 2025'!$D$109</c:f>
              <c:strCache>
                <c:ptCount val="1"/>
                <c:pt idx="0">
                  <c:v> 1st Qtr 2025</c:v>
                </c:pt>
              </c:strCache>
            </c:strRef>
          </c:tx>
          <c:spPr>
            <a:solidFill>
              <a:schemeClr val="accent1"/>
            </a:solidFill>
            <a:ln>
              <a:noFill/>
            </a:ln>
            <a:effectLst/>
            <a:sp3d/>
          </c:spPr>
          <c:invertIfNegative val="0"/>
          <c:cat>
            <c:strRef>
              <c:f>('INDUSTRY Q1 2025'!$C$110:$C$130,'INDUSTRY Q1 2025'!$C$132)</c:f>
              <c:strCache>
                <c:ptCount val="22"/>
                <c:pt idx="0">
                  <c:v>Agriculture, forestry and fishing</c:v>
                </c:pt>
                <c:pt idx="1">
                  <c:v>Mining and quarrying</c:v>
                </c:pt>
                <c:pt idx="2">
                  <c:v>Manufacturing</c:v>
                </c:pt>
                <c:pt idx="3">
                  <c:v>Electricity, gas, steam and air conditioning supply</c:v>
                </c:pt>
                <c:pt idx="4">
                  <c:v>Water supply; sewerage, waste management and remediation act</c:v>
                </c:pt>
                <c:pt idx="5">
                  <c:v>Construction</c:v>
                </c:pt>
                <c:pt idx="6">
                  <c:v>Wholesale and retail trade; repair of motor vehicles and motorcycles</c:v>
                </c:pt>
                <c:pt idx="7">
                  <c:v>Transportation and storage</c:v>
                </c:pt>
                <c:pt idx="8">
                  <c:v>Accommodation and food service activities</c:v>
                </c:pt>
                <c:pt idx="9">
                  <c:v>Information and communication</c:v>
                </c:pt>
                <c:pt idx="10">
                  <c:v>Financial and insurance activities</c:v>
                </c:pt>
                <c:pt idx="11">
                  <c:v>Real estate activities</c:v>
                </c:pt>
                <c:pt idx="12">
                  <c:v>Professional, scientific and technical activities</c:v>
                </c:pt>
                <c:pt idx="13">
                  <c:v>Administrative and support service activities</c:v>
                </c:pt>
                <c:pt idx="14">
                  <c:v>Public administration and defence; compulsory social security</c:v>
                </c:pt>
                <c:pt idx="15">
                  <c:v>Education</c:v>
                </c:pt>
                <c:pt idx="16">
                  <c:v>Human health and social work activities</c:v>
                </c:pt>
                <c:pt idx="17">
                  <c:v>Arts, entertainment and recreation</c:v>
                </c:pt>
                <c:pt idx="18">
                  <c:v>Other service activities</c:v>
                </c:pt>
                <c:pt idx="19">
                  <c:v>Activities of households as employers; undifferentiated good</c:v>
                </c:pt>
                <c:pt idx="20">
                  <c:v>Activities of extraterritorial organizations and bodies</c:v>
                </c:pt>
                <c:pt idx="21">
                  <c:v>Total</c:v>
                </c:pt>
              </c:strCache>
              <c:extLst/>
            </c:strRef>
          </c:cat>
          <c:val>
            <c:numRef>
              <c:f>('INDUSTRY Q1 2025'!$D$110:$D$130,'INDUSTRY Q1 2025'!$D$132)</c:f>
              <c:numCache>
                <c:formatCode>###0</c:formatCode>
                <c:ptCount val="22"/>
                <c:pt idx="0">
                  <c:v>8094.6826240331529</c:v>
                </c:pt>
                <c:pt idx="1">
                  <c:v>0</c:v>
                </c:pt>
                <c:pt idx="2">
                  <c:v>6065.6517623533064</c:v>
                </c:pt>
                <c:pt idx="3">
                  <c:v>782.45786784300913</c:v>
                </c:pt>
                <c:pt idx="4">
                  <c:v>824.25972254119119</c:v>
                </c:pt>
                <c:pt idx="5">
                  <c:v>7595.1955106202149</c:v>
                </c:pt>
                <c:pt idx="6">
                  <c:v>14049.932703430224</c:v>
                </c:pt>
                <c:pt idx="7">
                  <c:v>4915.5460711630831</c:v>
                </c:pt>
                <c:pt idx="8">
                  <c:v>16058.595458829275</c:v>
                </c:pt>
                <c:pt idx="9">
                  <c:v>921.7990984778852</c:v>
                </c:pt>
                <c:pt idx="10">
                  <c:v>1763.2081349682401</c:v>
                </c:pt>
                <c:pt idx="11">
                  <c:v>430.88728515487878</c:v>
                </c:pt>
                <c:pt idx="12">
                  <c:v>1264.7943810760826</c:v>
                </c:pt>
                <c:pt idx="13">
                  <c:v>9088.2939119472321</c:v>
                </c:pt>
                <c:pt idx="14">
                  <c:v>7641.2850153633626</c:v>
                </c:pt>
                <c:pt idx="15">
                  <c:v>5289.625691135423</c:v>
                </c:pt>
                <c:pt idx="16">
                  <c:v>4211.3347618427952</c:v>
                </c:pt>
                <c:pt idx="17">
                  <c:v>1486.6685340479451</c:v>
                </c:pt>
                <c:pt idx="18">
                  <c:v>2426.6890197650737</c:v>
                </c:pt>
                <c:pt idx="19">
                  <c:v>2545.6660028112492</c:v>
                </c:pt>
                <c:pt idx="20">
                  <c:v>230.44945306179579</c:v>
                </c:pt>
                <c:pt idx="21">
                  <c:v>97033.023010465433</c:v>
                </c:pt>
              </c:numCache>
              <c:extLst/>
            </c:numRef>
          </c:val>
          <c:extLst>
            <c:ext xmlns:c16="http://schemas.microsoft.com/office/drawing/2014/chart" uri="{C3380CC4-5D6E-409C-BE32-E72D297353CC}">
              <c16:uniqueId val="{00000000-E52A-4376-8A62-3CD41B16D5B9}"/>
            </c:ext>
          </c:extLst>
        </c:ser>
        <c:ser>
          <c:idx val="1"/>
          <c:order val="1"/>
          <c:tx>
            <c:strRef>
              <c:f>'INDUSTRY Q1 2025'!$E$109</c:f>
              <c:strCache>
                <c:ptCount val="1"/>
                <c:pt idx="0">
                  <c:v>4th Qtr 2024</c:v>
                </c:pt>
              </c:strCache>
            </c:strRef>
          </c:tx>
          <c:spPr>
            <a:solidFill>
              <a:schemeClr val="accent2"/>
            </a:solidFill>
            <a:ln>
              <a:noFill/>
            </a:ln>
            <a:effectLst/>
            <a:sp3d/>
          </c:spPr>
          <c:invertIfNegative val="0"/>
          <c:cat>
            <c:strRef>
              <c:f>('INDUSTRY Q1 2025'!$C$110:$C$130,'INDUSTRY Q1 2025'!$C$132)</c:f>
              <c:strCache>
                <c:ptCount val="22"/>
                <c:pt idx="0">
                  <c:v>Agriculture, forestry and fishing</c:v>
                </c:pt>
                <c:pt idx="1">
                  <c:v>Mining and quarrying</c:v>
                </c:pt>
                <c:pt idx="2">
                  <c:v>Manufacturing</c:v>
                </c:pt>
                <c:pt idx="3">
                  <c:v>Electricity, gas, steam and air conditioning supply</c:v>
                </c:pt>
                <c:pt idx="4">
                  <c:v>Water supply; sewerage, waste management and remediation act</c:v>
                </c:pt>
                <c:pt idx="5">
                  <c:v>Construction</c:v>
                </c:pt>
                <c:pt idx="6">
                  <c:v>Wholesale and retail trade; repair of motor vehicles and motorcycles</c:v>
                </c:pt>
                <c:pt idx="7">
                  <c:v>Transportation and storage</c:v>
                </c:pt>
                <c:pt idx="8">
                  <c:v>Accommodation and food service activities</c:v>
                </c:pt>
                <c:pt idx="9">
                  <c:v>Information and communication</c:v>
                </c:pt>
                <c:pt idx="10">
                  <c:v>Financial and insurance activities</c:v>
                </c:pt>
                <c:pt idx="11">
                  <c:v>Real estate activities</c:v>
                </c:pt>
                <c:pt idx="12">
                  <c:v>Professional, scientific and technical activities</c:v>
                </c:pt>
                <c:pt idx="13">
                  <c:v>Administrative and support service activities</c:v>
                </c:pt>
                <c:pt idx="14">
                  <c:v>Public administration and defence; compulsory social security</c:v>
                </c:pt>
                <c:pt idx="15">
                  <c:v>Education</c:v>
                </c:pt>
                <c:pt idx="16">
                  <c:v>Human health and social work activities</c:v>
                </c:pt>
                <c:pt idx="17">
                  <c:v>Arts, entertainment and recreation</c:v>
                </c:pt>
                <c:pt idx="18">
                  <c:v>Other service activities</c:v>
                </c:pt>
                <c:pt idx="19">
                  <c:v>Activities of households as employers; undifferentiated good</c:v>
                </c:pt>
                <c:pt idx="20">
                  <c:v>Activities of extraterritorial organizations and bodies</c:v>
                </c:pt>
                <c:pt idx="21">
                  <c:v>Total</c:v>
                </c:pt>
              </c:strCache>
              <c:extLst/>
            </c:strRef>
          </c:cat>
          <c:val>
            <c:numRef>
              <c:f>('INDUSTRY Q1 2025'!$E$110:$E$130,'INDUSTRY Q1 2025'!$E$132)</c:f>
              <c:numCache>
                <c:formatCode>General</c:formatCode>
                <c:ptCount val="22"/>
                <c:pt idx="0">
                  <c:v>9793.205102621183</c:v>
                </c:pt>
                <c:pt idx="2" formatCode="###0">
                  <c:v>4625.2186424295078</c:v>
                </c:pt>
                <c:pt idx="3">
                  <c:v>1072.0995397444999</c:v>
                </c:pt>
                <c:pt idx="4" formatCode="###0">
                  <c:v>669.84513707746646</c:v>
                </c:pt>
                <c:pt idx="5" formatCode="###0">
                  <c:v>7336.5265141845839</c:v>
                </c:pt>
                <c:pt idx="6" formatCode="0">
                  <c:v>14877.1031116058</c:v>
                </c:pt>
                <c:pt idx="7" formatCode="###0">
                  <c:v>6921.6279753358085</c:v>
                </c:pt>
                <c:pt idx="8" formatCode="###0">
                  <c:v>14222.115349016876</c:v>
                </c:pt>
                <c:pt idx="9" formatCode="###0">
                  <c:v>1524.616491421908</c:v>
                </c:pt>
                <c:pt idx="10" formatCode="###0">
                  <c:v>2652.036367417224</c:v>
                </c:pt>
                <c:pt idx="11" formatCode="###0">
                  <c:v>265.53548971999999</c:v>
                </c:pt>
                <c:pt idx="12" formatCode="###0">
                  <c:v>1072.0995397444999</c:v>
                </c:pt>
                <c:pt idx="13" formatCode="###0">
                  <c:v>9526.0883490598953</c:v>
                </c:pt>
                <c:pt idx="14" formatCode="###0">
                  <c:v>8052.841025801773</c:v>
                </c:pt>
                <c:pt idx="15" formatCode="###0">
                  <c:v>5117.5652537261903</c:v>
                </c:pt>
                <c:pt idx="16" formatCode="###0">
                  <c:v>4199.8885418670816</c:v>
                </c:pt>
                <c:pt idx="17" formatCode="###0">
                  <c:v>648.34937534590802</c:v>
                </c:pt>
                <c:pt idx="18" formatCode="###0">
                  <c:v>2561.3108566445917</c:v>
                </c:pt>
                <c:pt idx="19" formatCode="###0">
                  <c:v>2973.9988125414484</c:v>
                </c:pt>
                <c:pt idx="20" formatCode="###0">
                  <c:v>243.40775352290808</c:v>
                </c:pt>
                <c:pt idx="21" formatCode="###0">
                  <c:v>99453.479228829179</c:v>
                </c:pt>
              </c:numCache>
              <c:extLst/>
            </c:numRef>
          </c:val>
          <c:extLst>
            <c:ext xmlns:c16="http://schemas.microsoft.com/office/drawing/2014/chart" uri="{C3380CC4-5D6E-409C-BE32-E72D297353CC}">
              <c16:uniqueId val="{00000001-E52A-4376-8A62-3CD41B16D5B9}"/>
            </c:ext>
          </c:extLst>
        </c:ser>
        <c:ser>
          <c:idx val="2"/>
          <c:order val="2"/>
          <c:tx>
            <c:strRef>
              <c:f>'INDUSTRY Q1 2025'!$F$109</c:f>
              <c:strCache>
                <c:ptCount val="1"/>
                <c:pt idx="0">
                  <c:v> 1st Qtr 2024</c:v>
                </c:pt>
              </c:strCache>
            </c:strRef>
          </c:tx>
          <c:spPr>
            <a:solidFill>
              <a:srgbClr val="70AD47"/>
            </a:solidFill>
            <a:ln>
              <a:noFill/>
            </a:ln>
            <a:effectLst/>
            <a:sp3d/>
          </c:spPr>
          <c:invertIfNegative val="0"/>
          <c:cat>
            <c:strRef>
              <c:f>('INDUSTRY Q1 2025'!$C$110:$C$130,'INDUSTRY Q1 2025'!$C$132)</c:f>
              <c:strCache>
                <c:ptCount val="22"/>
                <c:pt idx="0">
                  <c:v>Agriculture, forestry and fishing</c:v>
                </c:pt>
                <c:pt idx="1">
                  <c:v>Mining and quarrying</c:v>
                </c:pt>
                <c:pt idx="2">
                  <c:v>Manufacturing</c:v>
                </c:pt>
                <c:pt idx="3">
                  <c:v>Electricity, gas, steam and air conditioning supply</c:v>
                </c:pt>
                <c:pt idx="4">
                  <c:v>Water supply; sewerage, waste management and remediation act</c:v>
                </c:pt>
                <c:pt idx="5">
                  <c:v>Construction</c:v>
                </c:pt>
                <c:pt idx="6">
                  <c:v>Wholesale and retail trade; repair of motor vehicles and motorcycles</c:v>
                </c:pt>
                <c:pt idx="7">
                  <c:v>Transportation and storage</c:v>
                </c:pt>
                <c:pt idx="8">
                  <c:v>Accommodation and food service activities</c:v>
                </c:pt>
                <c:pt idx="9">
                  <c:v>Information and communication</c:v>
                </c:pt>
                <c:pt idx="10">
                  <c:v>Financial and insurance activities</c:v>
                </c:pt>
                <c:pt idx="11">
                  <c:v>Real estate activities</c:v>
                </c:pt>
                <c:pt idx="12">
                  <c:v>Professional, scientific and technical activities</c:v>
                </c:pt>
                <c:pt idx="13">
                  <c:v>Administrative and support service activities</c:v>
                </c:pt>
                <c:pt idx="14">
                  <c:v>Public administration and defence; compulsory social security</c:v>
                </c:pt>
                <c:pt idx="15">
                  <c:v>Education</c:v>
                </c:pt>
                <c:pt idx="16">
                  <c:v>Human health and social work activities</c:v>
                </c:pt>
                <c:pt idx="17">
                  <c:v>Arts, entertainment and recreation</c:v>
                </c:pt>
                <c:pt idx="18">
                  <c:v>Other service activities</c:v>
                </c:pt>
                <c:pt idx="19">
                  <c:v>Activities of households as employers; undifferentiated good</c:v>
                </c:pt>
                <c:pt idx="20">
                  <c:v>Activities of extraterritorial organizations and bodies</c:v>
                </c:pt>
                <c:pt idx="21">
                  <c:v>Total</c:v>
                </c:pt>
              </c:strCache>
              <c:extLst/>
            </c:strRef>
          </c:cat>
          <c:val>
            <c:numRef>
              <c:f>('INDUSTRY Q1 2025'!$F$110:$F$130,'INDUSTRY Q1 2025'!$F$132)</c:f>
              <c:numCache>
                <c:formatCode>###0</c:formatCode>
                <c:ptCount val="22"/>
                <c:pt idx="0">
                  <c:v>5805.5257833468177</c:v>
                </c:pt>
                <c:pt idx="1">
                  <c:v>104.17946645109136</c:v>
                </c:pt>
                <c:pt idx="2">
                  <c:v>4747.6078581245019</c:v>
                </c:pt>
                <c:pt idx="3">
                  <c:v>647.40097008892496</c:v>
                </c:pt>
                <c:pt idx="4">
                  <c:v>396.87465400161693</c:v>
                </c:pt>
                <c:pt idx="5">
                  <c:v>10819.783962409039</c:v>
                </c:pt>
                <c:pt idx="6">
                  <c:v>16919.242436539978</c:v>
                </c:pt>
                <c:pt idx="7">
                  <c:v>4249.0332089733274</c:v>
                </c:pt>
                <c:pt idx="8">
                  <c:v>15516.540334680649</c:v>
                </c:pt>
                <c:pt idx="9">
                  <c:v>1025.672147938561</c:v>
                </c:pt>
                <c:pt idx="10">
                  <c:v>2051.3435517380767</c:v>
                </c:pt>
                <c:pt idx="11">
                  <c:v>223.24171382376721</c:v>
                </c:pt>
                <c:pt idx="12">
                  <c:v>990.94466693613595</c:v>
                </c:pt>
                <c:pt idx="13">
                  <c:v>7003.5896475343652</c:v>
                </c:pt>
                <c:pt idx="14">
                  <c:v>8948.2727732417134</c:v>
                </c:pt>
                <c:pt idx="15">
                  <c:v>5195.3325097008928</c:v>
                </c:pt>
                <c:pt idx="16">
                  <c:v>4776.1321960388086</c:v>
                </c:pt>
                <c:pt idx="17">
                  <c:v>601.51214753435738</c:v>
                </c:pt>
                <c:pt idx="18">
                  <c:v>2438.2958556992735</c:v>
                </c:pt>
                <c:pt idx="19">
                  <c:v>2526.3520614389672</c:v>
                </c:pt>
                <c:pt idx="20">
                  <c:v>260.44866612772842</c:v>
                </c:pt>
                <c:pt idx="21">
                  <c:v>96434.326612368604</c:v>
                </c:pt>
              </c:numCache>
              <c:extLst/>
            </c:numRef>
          </c:val>
          <c:extLst>
            <c:ext xmlns:c16="http://schemas.microsoft.com/office/drawing/2014/chart" uri="{C3380CC4-5D6E-409C-BE32-E72D297353CC}">
              <c16:uniqueId val="{00000002-E52A-4376-8A62-3CD41B16D5B9}"/>
            </c:ext>
          </c:extLst>
        </c:ser>
        <c:dLbls>
          <c:showLegendKey val="0"/>
          <c:showVal val="0"/>
          <c:showCatName val="0"/>
          <c:showSerName val="0"/>
          <c:showPercent val="0"/>
          <c:showBubbleSize val="0"/>
        </c:dLbls>
        <c:gapWidth val="150"/>
        <c:shape val="box"/>
        <c:axId val="89862303"/>
        <c:axId val="89863263"/>
        <c:axId val="0"/>
      </c:bar3DChart>
      <c:catAx>
        <c:axId val="898623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crossAx val="89863263"/>
        <c:crosses val="autoZero"/>
        <c:auto val="1"/>
        <c:lblAlgn val="ctr"/>
        <c:lblOffset val="100"/>
        <c:noMultiLvlLbl val="0"/>
      </c:catAx>
      <c:valAx>
        <c:axId val="898632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crossAx val="89862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C"/>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Unemployment Rate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LC"/>
        </a:p>
      </c:txPr>
    </c:title>
    <c:autoTitleDeleted val="0"/>
    <c:plotArea>
      <c:layout/>
      <c:barChart>
        <c:barDir val="col"/>
        <c:grouping val="clustered"/>
        <c:varyColors val="0"/>
        <c:ser>
          <c:idx val="0"/>
          <c:order val="0"/>
          <c:tx>
            <c:strRef>
              <c:f>UNEMP!$H$105</c:f>
              <c:strCache>
                <c:ptCount val="1"/>
                <c:pt idx="0">
                  <c:v>Unemployment Rate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L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UNEMP!$G$106:$G$108</c:f>
              <c:strCache>
                <c:ptCount val="3"/>
                <c:pt idx="0">
                  <c:v> 1st Qtr 2024</c:v>
                </c:pt>
                <c:pt idx="1">
                  <c:v>4th Qtr 2024</c:v>
                </c:pt>
                <c:pt idx="2">
                  <c:v> 1 Qtr 2025</c:v>
                </c:pt>
              </c:strCache>
            </c:strRef>
          </c:cat>
          <c:val>
            <c:numRef>
              <c:f>UNEMP!$H$106:$H$108</c:f>
              <c:numCache>
                <c:formatCode>0.0%</c:formatCode>
                <c:ptCount val="3"/>
                <c:pt idx="0">
                  <c:v>0.11372325564296742</c:v>
                </c:pt>
                <c:pt idx="1">
                  <c:v>8.7946956705153012E-2</c:v>
                </c:pt>
                <c:pt idx="2">
                  <c:v>0.14125528789139247</c:v>
                </c:pt>
              </c:numCache>
            </c:numRef>
          </c:val>
          <c:extLst>
            <c:ext xmlns:c16="http://schemas.microsoft.com/office/drawing/2014/chart" uri="{C3380CC4-5D6E-409C-BE32-E72D297353CC}">
              <c16:uniqueId val="{00000000-0C79-4F27-9023-3E517FC0C493}"/>
            </c:ext>
          </c:extLst>
        </c:ser>
        <c:ser>
          <c:idx val="1"/>
          <c:order val="1"/>
          <c:tx>
            <c:strRef>
              <c:f>UNEMP!$I$105</c:f>
              <c:strCache>
                <c:ptCount val="1"/>
                <c:pt idx="0">
                  <c:v>Unemployment Rate  % Male</c:v>
                </c:pt>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L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UNEMP!$G$106:$G$108</c:f>
              <c:strCache>
                <c:ptCount val="3"/>
                <c:pt idx="0">
                  <c:v> 1st Qtr 2024</c:v>
                </c:pt>
                <c:pt idx="1">
                  <c:v>4th Qtr 2024</c:v>
                </c:pt>
                <c:pt idx="2">
                  <c:v> 1 Qtr 2025</c:v>
                </c:pt>
              </c:strCache>
            </c:strRef>
          </c:cat>
          <c:val>
            <c:numRef>
              <c:f>UNEMP!$I$106:$I$108</c:f>
              <c:numCache>
                <c:formatCode>0.0%</c:formatCode>
                <c:ptCount val="3"/>
                <c:pt idx="0">
                  <c:v>0.10154644385296992</c:v>
                </c:pt>
                <c:pt idx="1">
                  <c:v>7.444260180578588E-2</c:v>
                </c:pt>
                <c:pt idx="2">
                  <c:v>8.9948235124361953E-2</c:v>
                </c:pt>
              </c:numCache>
            </c:numRef>
          </c:val>
          <c:extLst>
            <c:ext xmlns:c16="http://schemas.microsoft.com/office/drawing/2014/chart" uri="{C3380CC4-5D6E-409C-BE32-E72D297353CC}">
              <c16:uniqueId val="{00000001-0C79-4F27-9023-3E517FC0C493}"/>
            </c:ext>
          </c:extLst>
        </c:ser>
        <c:ser>
          <c:idx val="2"/>
          <c:order val="2"/>
          <c:tx>
            <c:strRef>
              <c:f>UNEMP!$J$105</c:f>
              <c:strCache>
                <c:ptCount val="1"/>
                <c:pt idx="0">
                  <c:v>Unemployment Rate  % Female</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L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UNEMP!$G$106:$G$108</c:f>
              <c:strCache>
                <c:ptCount val="3"/>
                <c:pt idx="0">
                  <c:v> 1st Qtr 2024</c:v>
                </c:pt>
                <c:pt idx="1">
                  <c:v>4th Qtr 2024</c:v>
                </c:pt>
                <c:pt idx="2">
                  <c:v> 1 Qtr 2025</c:v>
                </c:pt>
              </c:strCache>
            </c:strRef>
          </c:cat>
          <c:val>
            <c:numRef>
              <c:f>UNEMP!$J$106:$J$108</c:f>
              <c:numCache>
                <c:formatCode>0.0%</c:formatCode>
                <c:ptCount val="3"/>
                <c:pt idx="0">
                  <c:v>0.12834202968895361</c:v>
                </c:pt>
                <c:pt idx="1">
                  <c:v>0.10428403518015644</c:v>
                </c:pt>
                <c:pt idx="2">
                  <c:v>0.19068304634150579</c:v>
                </c:pt>
              </c:numCache>
            </c:numRef>
          </c:val>
          <c:extLst>
            <c:ext xmlns:c16="http://schemas.microsoft.com/office/drawing/2014/chart" uri="{C3380CC4-5D6E-409C-BE32-E72D297353CC}">
              <c16:uniqueId val="{00000002-0C79-4F27-9023-3E517FC0C493}"/>
            </c:ext>
          </c:extLst>
        </c:ser>
        <c:ser>
          <c:idx val="3"/>
          <c:order val="3"/>
          <c:tx>
            <c:strRef>
              <c:f>UNEMP!$K$105</c:f>
              <c:strCache>
                <c:ptCount val="1"/>
                <c:pt idx="0">
                  <c:v>Youth Unemployment Rate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L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UNEMP!$G$106:$G$108</c:f>
              <c:strCache>
                <c:ptCount val="3"/>
                <c:pt idx="0">
                  <c:v> 1st Qtr 2024</c:v>
                </c:pt>
                <c:pt idx="1">
                  <c:v>4th Qtr 2024</c:v>
                </c:pt>
                <c:pt idx="2">
                  <c:v> 1 Qtr 2025</c:v>
                </c:pt>
              </c:strCache>
            </c:strRef>
          </c:cat>
          <c:val>
            <c:numRef>
              <c:f>UNEMP!$K$106:$K$108</c:f>
              <c:numCache>
                <c:formatCode>0.0%</c:formatCode>
                <c:ptCount val="3"/>
                <c:pt idx="0">
                  <c:v>0.1838582757494267</c:v>
                </c:pt>
                <c:pt idx="1">
                  <c:v>0.16289842844020674</c:v>
                </c:pt>
                <c:pt idx="2">
                  <c:v>0.214</c:v>
                </c:pt>
              </c:numCache>
            </c:numRef>
          </c:val>
          <c:extLst>
            <c:ext xmlns:c16="http://schemas.microsoft.com/office/drawing/2014/chart" uri="{C3380CC4-5D6E-409C-BE32-E72D297353CC}">
              <c16:uniqueId val="{00000003-0C79-4F27-9023-3E517FC0C493}"/>
            </c:ext>
          </c:extLst>
        </c:ser>
        <c:dLbls>
          <c:dLblPos val="inEnd"/>
          <c:showLegendKey val="0"/>
          <c:showVal val="1"/>
          <c:showCatName val="0"/>
          <c:showSerName val="0"/>
          <c:showPercent val="0"/>
          <c:showBubbleSize val="0"/>
        </c:dLbls>
        <c:gapWidth val="65"/>
        <c:axId val="89881983"/>
        <c:axId val="89882463"/>
      </c:barChart>
      <c:catAx>
        <c:axId val="898819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LC"/>
          </a:p>
        </c:txPr>
        <c:crossAx val="89882463"/>
        <c:crosses val="autoZero"/>
        <c:auto val="1"/>
        <c:lblAlgn val="ctr"/>
        <c:lblOffset val="100"/>
        <c:noMultiLvlLbl val="0"/>
      </c:catAx>
      <c:valAx>
        <c:axId val="898824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8988198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LC"/>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Labour Force Participation Rate (LFPR) and Unemployment Rate (UR) of the Working Age Population by Age in SAINT LUCIA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C"/>
        </a:p>
      </c:txPr>
    </c:title>
    <c:autoTitleDeleted val="0"/>
    <c:plotArea>
      <c:layout/>
      <c:barChart>
        <c:barDir val="bar"/>
        <c:grouping val="stacked"/>
        <c:varyColors val="0"/>
        <c:ser>
          <c:idx val="0"/>
          <c:order val="0"/>
          <c:tx>
            <c:strRef>
              <c:f>'occupation 2'!$C$20</c:f>
              <c:strCache>
                <c:ptCount val="1"/>
                <c:pt idx="0">
                  <c:v>Labour Force Participation Rate</c:v>
                </c:pt>
              </c:strCache>
            </c:strRef>
          </c:tx>
          <c:spPr>
            <a:solidFill>
              <a:schemeClr val="accent1"/>
            </a:solidFill>
            <a:ln>
              <a:noFill/>
            </a:ln>
            <a:effectLst/>
          </c:spPr>
          <c:invertIfNegative val="0"/>
          <c:cat>
            <c:strRef>
              <c:f>'occupation 2'!$B$21:$B$32</c:f>
              <c:strCache>
                <c:ptCount val="12"/>
                <c:pt idx="0">
                  <c:v>15-19 Years</c:v>
                </c:pt>
                <c:pt idx="1">
                  <c:v>20-24 Years</c:v>
                </c:pt>
                <c:pt idx="2">
                  <c:v>25-29 Years</c:v>
                </c:pt>
                <c:pt idx="3">
                  <c:v>30-34 Years</c:v>
                </c:pt>
                <c:pt idx="4">
                  <c:v>35-39 Years</c:v>
                </c:pt>
                <c:pt idx="5">
                  <c:v>40-44 Years</c:v>
                </c:pt>
                <c:pt idx="6">
                  <c:v>45-49 Years</c:v>
                </c:pt>
                <c:pt idx="7">
                  <c:v>50-54 Years</c:v>
                </c:pt>
                <c:pt idx="8">
                  <c:v>55-59 Years</c:v>
                </c:pt>
                <c:pt idx="9">
                  <c:v>60-64 Years</c:v>
                </c:pt>
                <c:pt idx="10">
                  <c:v>Over 65 Years</c:v>
                </c:pt>
                <c:pt idx="11">
                  <c:v>Total</c:v>
                </c:pt>
              </c:strCache>
            </c:strRef>
          </c:cat>
          <c:val>
            <c:numRef>
              <c:f>'occupation 2'!$C$21:$C$32</c:f>
              <c:numCache>
                <c:formatCode>General</c:formatCode>
                <c:ptCount val="12"/>
                <c:pt idx="0">
                  <c:v>26.4</c:v>
                </c:pt>
                <c:pt idx="1">
                  <c:v>82.9</c:v>
                </c:pt>
                <c:pt idx="2">
                  <c:v>98.4</c:v>
                </c:pt>
                <c:pt idx="3">
                  <c:v>91.6</c:v>
                </c:pt>
                <c:pt idx="4">
                  <c:v>93.7</c:v>
                </c:pt>
                <c:pt idx="5">
                  <c:v>96.8</c:v>
                </c:pt>
                <c:pt idx="6">
                  <c:v>96.9</c:v>
                </c:pt>
                <c:pt idx="7">
                  <c:v>94.2</c:v>
                </c:pt>
                <c:pt idx="8">
                  <c:v>82.2</c:v>
                </c:pt>
                <c:pt idx="9">
                  <c:v>75.400000000000006</c:v>
                </c:pt>
                <c:pt idx="10">
                  <c:v>21.3</c:v>
                </c:pt>
                <c:pt idx="11">
                  <c:v>71.400000000000006</c:v>
                </c:pt>
              </c:numCache>
            </c:numRef>
          </c:val>
          <c:extLst>
            <c:ext xmlns:c16="http://schemas.microsoft.com/office/drawing/2014/chart" uri="{C3380CC4-5D6E-409C-BE32-E72D297353CC}">
              <c16:uniqueId val="{00000000-970A-4F45-8B36-6A24542C2821}"/>
            </c:ext>
          </c:extLst>
        </c:ser>
        <c:ser>
          <c:idx val="1"/>
          <c:order val="1"/>
          <c:tx>
            <c:strRef>
              <c:f>'occupation 2'!$D$20</c:f>
              <c:strCache>
                <c:ptCount val="1"/>
                <c:pt idx="0">
                  <c:v>Unemployment Rate</c:v>
                </c:pt>
              </c:strCache>
            </c:strRef>
          </c:tx>
          <c:spPr>
            <a:solidFill>
              <a:schemeClr val="accent2"/>
            </a:solidFill>
            <a:ln>
              <a:noFill/>
            </a:ln>
            <a:effectLst/>
          </c:spPr>
          <c:invertIfNegative val="0"/>
          <c:cat>
            <c:strRef>
              <c:f>'occupation 2'!$B$21:$B$32</c:f>
              <c:strCache>
                <c:ptCount val="12"/>
                <c:pt idx="0">
                  <c:v>15-19 Years</c:v>
                </c:pt>
                <c:pt idx="1">
                  <c:v>20-24 Years</c:v>
                </c:pt>
                <c:pt idx="2">
                  <c:v>25-29 Years</c:v>
                </c:pt>
                <c:pt idx="3">
                  <c:v>30-34 Years</c:v>
                </c:pt>
                <c:pt idx="4">
                  <c:v>35-39 Years</c:v>
                </c:pt>
                <c:pt idx="5">
                  <c:v>40-44 Years</c:v>
                </c:pt>
                <c:pt idx="6">
                  <c:v>45-49 Years</c:v>
                </c:pt>
                <c:pt idx="7">
                  <c:v>50-54 Years</c:v>
                </c:pt>
                <c:pt idx="8">
                  <c:v>55-59 Years</c:v>
                </c:pt>
                <c:pt idx="9">
                  <c:v>60-64 Years</c:v>
                </c:pt>
                <c:pt idx="10">
                  <c:v>Over 65 Years</c:v>
                </c:pt>
                <c:pt idx="11">
                  <c:v>Total</c:v>
                </c:pt>
              </c:strCache>
            </c:strRef>
          </c:cat>
          <c:val>
            <c:numRef>
              <c:f>'occupation 2'!$D$21:$D$32</c:f>
              <c:numCache>
                <c:formatCode>General</c:formatCode>
                <c:ptCount val="12"/>
                <c:pt idx="0">
                  <c:v>71.8</c:v>
                </c:pt>
                <c:pt idx="1">
                  <c:v>18</c:v>
                </c:pt>
                <c:pt idx="2">
                  <c:v>14.2</c:v>
                </c:pt>
                <c:pt idx="3">
                  <c:v>16.899999999999999</c:v>
                </c:pt>
                <c:pt idx="4">
                  <c:v>9.1999999999999993</c:v>
                </c:pt>
                <c:pt idx="5">
                  <c:v>7.6</c:v>
                </c:pt>
                <c:pt idx="6">
                  <c:v>12.7</c:v>
                </c:pt>
                <c:pt idx="7">
                  <c:v>11.5</c:v>
                </c:pt>
                <c:pt idx="8">
                  <c:v>8</c:v>
                </c:pt>
                <c:pt idx="9">
                  <c:v>12.3</c:v>
                </c:pt>
                <c:pt idx="10">
                  <c:v>22.1</c:v>
                </c:pt>
                <c:pt idx="11">
                  <c:v>14.1</c:v>
                </c:pt>
              </c:numCache>
            </c:numRef>
          </c:val>
          <c:extLst>
            <c:ext xmlns:c16="http://schemas.microsoft.com/office/drawing/2014/chart" uri="{C3380CC4-5D6E-409C-BE32-E72D297353CC}">
              <c16:uniqueId val="{00000001-970A-4F45-8B36-6A24542C2821}"/>
            </c:ext>
          </c:extLst>
        </c:ser>
        <c:ser>
          <c:idx val="2"/>
          <c:order val="2"/>
          <c:tx>
            <c:strRef>
              <c:f>'occupation 2'!$E$20</c:f>
              <c:strCache>
                <c:ptCount val="1"/>
                <c:pt idx="0">
                  <c:v>Employment Rate</c:v>
                </c:pt>
              </c:strCache>
            </c:strRef>
          </c:tx>
          <c:spPr>
            <a:solidFill>
              <a:srgbClr val="92D050"/>
            </a:solidFill>
            <a:ln>
              <a:noFill/>
            </a:ln>
            <a:effectLst/>
          </c:spPr>
          <c:invertIfNegative val="0"/>
          <c:cat>
            <c:strRef>
              <c:f>'occupation 2'!$B$21:$B$32</c:f>
              <c:strCache>
                <c:ptCount val="12"/>
                <c:pt idx="0">
                  <c:v>15-19 Years</c:v>
                </c:pt>
                <c:pt idx="1">
                  <c:v>20-24 Years</c:v>
                </c:pt>
                <c:pt idx="2">
                  <c:v>25-29 Years</c:v>
                </c:pt>
                <c:pt idx="3">
                  <c:v>30-34 Years</c:v>
                </c:pt>
                <c:pt idx="4">
                  <c:v>35-39 Years</c:v>
                </c:pt>
                <c:pt idx="5">
                  <c:v>40-44 Years</c:v>
                </c:pt>
                <c:pt idx="6">
                  <c:v>45-49 Years</c:v>
                </c:pt>
                <c:pt idx="7">
                  <c:v>50-54 Years</c:v>
                </c:pt>
                <c:pt idx="8">
                  <c:v>55-59 Years</c:v>
                </c:pt>
                <c:pt idx="9">
                  <c:v>60-64 Years</c:v>
                </c:pt>
                <c:pt idx="10">
                  <c:v>Over 65 Years</c:v>
                </c:pt>
                <c:pt idx="11">
                  <c:v>Total</c:v>
                </c:pt>
              </c:strCache>
            </c:strRef>
          </c:cat>
          <c:val>
            <c:numRef>
              <c:f>'occupation 2'!$E$21:$E$32</c:f>
              <c:numCache>
                <c:formatCode>General</c:formatCode>
                <c:ptCount val="12"/>
                <c:pt idx="0">
                  <c:v>28.2</c:v>
                </c:pt>
                <c:pt idx="1">
                  <c:v>82</c:v>
                </c:pt>
                <c:pt idx="2">
                  <c:v>85.8</c:v>
                </c:pt>
                <c:pt idx="3">
                  <c:v>83.1</c:v>
                </c:pt>
                <c:pt idx="4">
                  <c:v>90.8</c:v>
                </c:pt>
                <c:pt idx="5">
                  <c:v>92.4</c:v>
                </c:pt>
                <c:pt idx="6">
                  <c:v>87.3</c:v>
                </c:pt>
                <c:pt idx="7">
                  <c:v>88.5</c:v>
                </c:pt>
                <c:pt idx="8">
                  <c:v>92</c:v>
                </c:pt>
                <c:pt idx="9">
                  <c:v>87.7</c:v>
                </c:pt>
                <c:pt idx="10">
                  <c:v>77.900000000000006</c:v>
                </c:pt>
                <c:pt idx="11">
                  <c:v>85.9</c:v>
                </c:pt>
              </c:numCache>
            </c:numRef>
          </c:val>
          <c:extLst>
            <c:ext xmlns:c16="http://schemas.microsoft.com/office/drawing/2014/chart" uri="{C3380CC4-5D6E-409C-BE32-E72D297353CC}">
              <c16:uniqueId val="{00000002-970A-4F45-8B36-6A24542C2821}"/>
            </c:ext>
          </c:extLst>
        </c:ser>
        <c:dLbls>
          <c:showLegendKey val="0"/>
          <c:showVal val="0"/>
          <c:showCatName val="0"/>
          <c:showSerName val="0"/>
          <c:showPercent val="0"/>
          <c:showBubbleSize val="0"/>
        </c:dLbls>
        <c:gapWidth val="150"/>
        <c:overlap val="100"/>
        <c:axId val="154703328"/>
        <c:axId val="154702368"/>
      </c:barChart>
      <c:catAx>
        <c:axId val="154703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crossAx val="154702368"/>
        <c:crosses val="autoZero"/>
        <c:auto val="1"/>
        <c:lblAlgn val="ctr"/>
        <c:lblOffset val="100"/>
        <c:noMultiLvlLbl val="0"/>
      </c:catAx>
      <c:valAx>
        <c:axId val="15470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crossAx val="15470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solidFill>
              </a:rPr>
              <a:t>EMPLOYED LABOUR FORCE BY OCCUPATION GROUP</a:t>
            </a:r>
          </a:p>
        </c:rich>
      </c:tx>
      <c:layout>
        <c:manualLayout>
          <c:xMode val="edge"/>
          <c:yMode val="edge"/>
          <c:x val="0.15263262795275589"/>
          <c:y val="3.20512820512820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LC"/>
        </a:p>
      </c:txPr>
    </c:title>
    <c:autoTitleDeleted val="0"/>
    <c:plotArea>
      <c:layout/>
      <c:lineChart>
        <c:grouping val="standard"/>
        <c:varyColors val="0"/>
        <c:ser>
          <c:idx val="0"/>
          <c:order val="0"/>
          <c:tx>
            <c:strRef>
              <c:f>OCCUPATION!$C$23</c:f>
              <c:strCache>
                <c:ptCount val="1"/>
                <c:pt idx="0">
                  <c:v> 1st Qtr 2024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OCCUPATION!$B$24:$B$34</c:f>
              <c:strCache>
                <c:ptCount val="10"/>
                <c:pt idx="0">
                  <c:v>Managers</c:v>
                </c:pt>
                <c:pt idx="1">
                  <c:v>Professionals</c:v>
                </c:pt>
                <c:pt idx="2">
                  <c:v>Technicians and associate professionals</c:v>
                </c:pt>
                <c:pt idx="3">
                  <c:v>Clerical support workers</c:v>
                </c:pt>
                <c:pt idx="4">
                  <c:v>Service and sales workers</c:v>
                </c:pt>
                <c:pt idx="5">
                  <c:v>Skilled agricultural, forestry and fishery workers</c:v>
                </c:pt>
                <c:pt idx="6">
                  <c:v>Craft and related trades workers</c:v>
                </c:pt>
                <c:pt idx="7">
                  <c:v>Plant and machine operators, and assemblers</c:v>
                </c:pt>
                <c:pt idx="8">
                  <c:v>Elementary occupations</c:v>
                </c:pt>
                <c:pt idx="9">
                  <c:v>Not Stated</c:v>
                </c:pt>
              </c:strCache>
              <c:extLst/>
            </c:strRef>
          </c:cat>
          <c:val>
            <c:numRef>
              <c:f>OCCUPATION!$C$24:$C$34</c:f>
              <c:numCache>
                <c:formatCode>0</c:formatCode>
                <c:ptCount val="10"/>
                <c:pt idx="0">
                  <c:v>5590.9659397736514</c:v>
                </c:pt>
                <c:pt idx="1">
                  <c:v>9080.9773217461607</c:v>
                </c:pt>
                <c:pt idx="2">
                  <c:v>5387.5674377526329</c:v>
                </c:pt>
                <c:pt idx="3">
                  <c:v>8787.0423985448706</c:v>
                </c:pt>
                <c:pt idx="4">
                  <c:v>29197.53818512521</c:v>
                </c:pt>
                <c:pt idx="5">
                  <c:v>5251.1421940177925</c:v>
                </c:pt>
                <c:pt idx="6">
                  <c:v>12040.172742117998</c:v>
                </c:pt>
                <c:pt idx="7">
                  <c:v>5989.0788411479452</c:v>
                </c:pt>
                <c:pt idx="8">
                  <c:v>14015.858932902154</c:v>
                </c:pt>
                <c:pt idx="9">
                  <c:v>1094</c:v>
                </c:pt>
              </c:numCache>
              <c:extLst/>
            </c:numRef>
          </c:val>
          <c:smooth val="0"/>
          <c:extLst>
            <c:ext xmlns:c16="http://schemas.microsoft.com/office/drawing/2014/chart" uri="{C3380CC4-5D6E-409C-BE32-E72D297353CC}">
              <c16:uniqueId val="{00000000-9E84-4A32-AA66-1DF0E2E04041}"/>
            </c:ext>
          </c:extLst>
        </c:ser>
        <c:ser>
          <c:idx val="1"/>
          <c:order val="1"/>
          <c:tx>
            <c:strRef>
              <c:f>OCCUPATION!$D$23</c:f>
              <c:strCache>
                <c:ptCount val="1"/>
                <c:pt idx="0">
                  <c:v>4th Qtr 2024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OCCUPATION!$B$24:$B$34</c:f>
              <c:strCache>
                <c:ptCount val="10"/>
                <c:pt idx="0">
                  <c:v>Managers</c:v>
                </c:pt>
                <c:pt idx="1">
                  <c:v>Professionals</c:v>
                </c:pt>
                <c:pt idx="2">
                  <c:v>Technicians and associate professionals</c:v>
                </c:pt>
                <c:pt idx="3">
                  <c:v>Clerical support workers</c:v>
                </c:pt>
                <c:pt idx="4">
                  <c:v>Service and sales workers</c:v>
                </c:pt>
                <c:pt idx="5">
                  <c:v>Skilled agricultural, forestry and fishery workers</c:v>
                </c:pt>
                <c:pt idx="6">
                  <c:v>Craft and related trades workers</c:v>
                </c:pt>
                <c:pt idx="7">
                  <c:v>Plant and machine operators, and assemblers</c:v>
                </c:pt>
                <c:pt idx="8">
                  <c:v>Elementary occupations</c:v>
                </c:pt>
                <c:pt idx="9">
                  <c:v>Not Stated</c:v>
                </c:pt>
              </c:strCache>
              <c:extLst/>
            </c:strRef>
          </c:cat>
          <c:val>
            <c:numRef>
              <c:f>OCCUPATION!$D$24:$D$34</c:f>
              <c:numCache>
                <c:formatCode>###0</c:formatCode>
                <c:ptCount val="10"/>
                <c:pt idx="0">
                  <c:v>6522.2167939249512</c:v>
                </c:pt>
                <c:pt idx="1">
                  <c:v>8615.364020160383</c:v>
                </c:pt>
                <c:pt idx="2">
                  <c:v>9642.7327789841056</c:v>
                </c:pt>
                <c:pt idx="3">
                  <c:v>9029.1572675332009</c:v>
                </c:pt>
                <c:pt idx="4">
                  <c:v>27450.846498861843</c:v>
                </c:pt>
                <c:pt idx="5">
                  <c:v>8816.2548949080501</c:v>
                </c:pt>
                <c:pt idx="6">
                  <c:v>10486.91723335341</c:v>
                </c:pt>
                <c:pt idx="7">
                  <c:v>5893.783907985493</c:v>
                </c:pt>
                <c:pt idx="8">
                  <c:v>11898.205833117729</c:v>
                </c:pt>
                <c:pt idx="9" formatCode="0">
                  <c:v>1098</c:v>
                </c:pt>
              </c:numCache>
              <c:extLst/>
            </c:numRef>
          </c:val>
          <c:smooth val="0"/>
          <c:extLst>
            <c:ext xmlns:c16="http://schemas.microsoft.com/office/drawing/2014/chart" uri="{C3380CC4-5D6E-409C-BE32-E72D297353CC}">
              <c16:uniqueId val="{00000001-9E84-4A32-AA66-1DF0E2E04041}"/>
            </c:ext>
          </c:extLst>
        </c:ser>
        <c:ser>
          <c:idx val="2"/>
          <c:order val="2"/>
          <c:tx>
            <c:strRef>
              <c:f>OCCUPATION!$E$23</c:f>
              <c:strCache>
                <c:ptCount val="1"/>
                <c:pt idx="0">
                  <c:v> 1 Qtr 2025</c:v>
                </c:pt>
              </c:strCache>
            </c:strRef>
          </c:tx>
          <c:spPr>
            <a:ln w="28575" cap="rnd">
              <a:solidFill>
                <a:schemeClr val="accent3"/>
              </a:solidFill>
              <a:round/>
            </a:ln>
            <a:effectLst/>
          </c:spPr>
          <c:marker>
            <c:symbol val="circle"/>
            <c:size val="5"/>
            <c:spPr>
              <a:solidFill>
                <a:srgbClr val="92D050"/>
              </a:solidFill>
              <a:ln w="9525">
                <a:solidFill>
                  <a:schemeClr val="accent3"/>
                </a:solidFill>
              </a:ln>
              <a:effectLst/>
            </c:spPr>
          </c:marker>
          <c:cat>
            <c:strRef>
              <c:f>OCCUPATION!$B$24:$B$34</c:f>
              <c:strCache>
                <c:ptCount val="10"/>
                <c:pt idx="0">
                  <c:v>Managers</c:v>
                </c:pt>
                <c:pt idx="1">
                  <c:v>Professionals</c:v>
                </c:pt>
                <c:pt idx="2">
                  <c:v>Technicians and associate professionals</c:v>
                </c:pt>
                <c:pt idx="3">
                  <c:v>Clerical support workers</c:v>
                </c:pt>
                <c:pt idx="4">
                  <c:v>Service and sales workers</c:v>
                </c:pt>
                <c:pt idx="5">
                  <c:v>Skilled agricultural, forestry and fishery workers</c:v>
                </c:pt>
                <c:pt idx="6">
                  <c:v>Craft and related trades workers</c:v>
                </c:pt>
                <c:pt idx="7">
                  <c:v>Plant and machine operators, and assemblers</c:v>
                </c:pt>
                <c:pt idx="8">
                  <c:v>Elementary occupations</c:v>
                </c:pt>
                <c:pt idx="9">
                  <c:v>Not Stated</c:v>
                </c:pt>
              </c:strCache>
              <c:extLst/>
            </c:strRef>
          </c:cat>
          <c:val>
            <c:numRef>
              <c:f>OCCUPATION!$E$24:$E$34</c:f>
              <c:numCache>
                <c:formatCode>###0</c:formatCode>
                <c:ptCount val="10"/>
                <c:pt idx="0">
                  <c:v>5010.9438729810217</c:v>
                </c:pt>
                <c:pt idx="1">
                  <c:v>9278.0142267162792</c:v>
                </c:pt>
                <c:pt idx="2">
                  <c:v>10408.823241800426</c:v>
                </c:pt>
                <c:pt idx="3">
                  <c:v>5753.7401740139003</c:v>
                </c:pt>
                <c:pt idx="4">
                  <c:v>29135.278549472703</c:v>
                </c:pt>
                <c:pt idx="5">
                  <c:v>6679.8288518828067</c:v>
                </c:pt>
                <c:pt idx="6">
                  <c:v>11250.236136982889</c:v>
                </c:pt>
                <c:pt idx="7">
                  <c:v>4398.9102869163298</c:v>
                </c:pt>
                <c:pt idx="8">
                  <c:v>13771.247669699071</c:v>
                </c:pt>
                <c:pt idx="9" formatCode="0">
                  <c:v>1346</c:v>
                </c:pt>
              </c:numCache>
              <c:extLst/>
            </c:numRef>
          </c:val>
          <c:smooth val="0"/>
          <c:extLst>
            <c:ext xmlns:c16="http://schemas.microsoft.com/office/drawing/2014/chart" uri="{C3380CC4-5D6E-409C-BE32-E72D297353CC}">
              <c16:uniqueId val="{00000002-9E84-4A32-AA66-1DF0E2E04041}"/>
            </c:ext>
          </c:extLst>
        </c:ser>
        <c:dLbls>
          <c:showLegendKey val="0"/>
          <c:showVal val="0"/>
          <c:showCatName val="0"/>
          <c:showSerName val="0"/>
          <c:showPercent val="0"/>
          <c:showBubbleSize val="0"/>
        </c:dLbls>
        <c:marker val="1"/>
        <c:smooth val="0"/>
        <c:axId val="186306927"/>
        <c:axId val="186301167"/>
      </c:lineChart>
      <c:catAx>
        <c:axId val="186306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crossAx val="186301167"/>
        <c:crosses val="autoZero"/>
        <c:auto val="1"/>
        <c:lblAlgn val="ctr"/>
        <c:lblOffset val="100"/>
        <c:noMultiLvlLbl val="0"/>
      </c:catAx>
      <c:valAx>
        <c:axId val="186301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crossAx val="186306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L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C"/>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rates!$B$39:$B$50</cx:f>
        <cx:lvl ptCount="12">
          <cx:pt idx="0">15-19 Years</cx:pt>
          <cx:pt idx="1">20-24 Years</cx:pt>
          <cx:pt idx="2">25-29 Years</cx:pt>
          <cx:pt idx="3">30-34 Years</cx:pt>
          <cx:pt idx="4">35-39 Years</cx:pt>
          <cx:pt idx="5">40-44 Years</cx:pt>
          <cx:pt idx="6">45-49 Years</cx:pt>
          <cx:pt idx="7">50-54 Years</cx:pt>
          <cx:pt idx="8">55-59 Years</cx:pt>
          <cx:pt idx="9">60-64 Years</cx:pt>
          <cx:pt idx="10">Over 65 Years</cx:pt>
          <cx:pt idx="11">Total</cx:pt>
        </cx:lvl>
      </cx:strDim>
      <cx:numDim type="val">
        <cx:f>rates!$C$39:$C$50</cx:f>
        <cx:lvl ptCount="12" formatCode="General">
          <cx:pt idx="0">28.199999999999999</cx:pt>
          <cx:pt idx="1">82</cx:pt>
          <cx:pt idx="2">85.799999999999997</cx:pt>
          <cx:pt idx="3">83.099999999999994</cx:pt>
          <cx:pt idx="4">90.799999999999997</cx:pt>
          <cx:pt idx="5">92.400000000000006</cx:pt>
          <cx:pt idx="6">87.299999999999997</cx:pt>
          <cx:pt idx="7">88.5</cx:pt>
          <cx:pt idx="8">92</cx:pt>
          <cx:pt idx="9">87.700000000000003</cx:pt>
          <cx:pt idx="10">77.900000000000006</cx:pt>
          <cx:pt idx="11">85.900000000000006</cx:pt>
        </cx:lvl>
      </cx:numDim>
    </cx:data>
  </cx:chartData>
  <cx:chart>
    <cx:title pos="t" align="ctr" overlay="0">
      <cx:tx>
        <cx:txData>
          <cx:v>Employment Rate Qtr.1,  2025</cx:v>
        </cx:txData>
      </cx:tx>
      <cx:txPr>
        <a:bodyPr spcFirstLastPara="1" vertOverflow="ellipsis" horzOverflow="overflow" wrap="square" lIns="0" tIns="0" rIns="0" bIns="0" anchor="ctr" anchorCtr="1"/>
        <a:lstStyle/>
        <a:p>
          <a:pPr algn="ctr" rtl="0">
            <a:defRPr/>
          </a:pPr>
          <a:r>
            <a:rPr lang="en-US" sz="1400" b="1" i="0" u="none" strike="noStrike" baseline="0">
              <a:solidFill>
                <a:sysClr val="windowText" lastClr="000000"/>
              </a:solidFill>
              <a:latin typeface="Times New Roman" panose="02020603050405020304" pitchFamily="18" charset="0"/>
              <a:cs typeface="Times New Roman" panose="02020603050405020304" pitchFamily="18" charset="0"/>
            </a:rPr>
            <a:t>Employment Rate Qtr.1,  2025</a:t>
          </a:r>
        </a:p>
      </cx:txPr>
    </cx:title>
    <cx:plotArea>
      <cx:plotAreaRegion>
        <cx:series layoutId="funnel" uniqueId="{CE8F4BE3-0F26-4D15-9691-72C5D745A33C}">
          <cx:tx>
            <cx:txData>
              <cx:f>rates!$C$38</cx:f>
              <cx:v>Employment Rate</cx:v>
            </cx:txData>
          </cx:tx>
          <cx:dataLabels>
            <cx:visibility seriesName="0" categoryName="0" value="1"/>
          </cx:dataLabels>
          <cx:dataId val="0"/>
        </cx:series>
      </cx:plotAreaRegion>
      <cx:axis id="0">
        <cx:catScaling gapWidth="0.150000006"/>
        <cx:tickLabels/>
        <cx:txPr>
          <a:bodyPr spcFirstLastPara="1" vertOverflow="ellipsis" horzOverflow="overflow" wrap="square" lIns="0" tIns="0" rIns="0" bIns="0" anchor="ctr" anchorCtr="1"/>
          <a:lstStyle/>
          <a:p>
            <a:pPr algn="ctr" rtl="0">
              <a:defRPr b="1">
                <a:solidFill>
                  <a:sysClr val="windowText" lastClr="000000"/>
                </a:solidFill>
              </a:defRPr>
            </a:pPr>
            <a:endParaRPr lang="en-US" sz="900" b="1" i="0" u="none" strike="noStrike" baseline="0">
              <a:solidFill>
                <a:sysClr val="windowText" lastClr="000000"/>
              </a:solidFill>
              <a:latin typeface="Calibri" panose="020F0502020204030204"/>
            </a:endParaRPr>
          </a:p>
        </cx:txPr>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rates!$B$22:$B$33</cx:f>
        <cx:lvl ptCount="12">
          <cx:pt idx="0">15-19 Years</cx:pt>
          <cx:pt idx="1">20-24 Years</cx:pt>
          <cx:pt idx="2">25-29 Years</cx:pt>
          <cx:pt idx="3">30-34 Years</cx:pt>
          <cx:pt idx="4">35-39 Years</cx:pt>
          <cx:pt idx="5">40-44 Years</cx:pt>
          <cx:pt idx="6">45-49 Years</cx:pt>
          <cx:pt idx="7">50-54 Years</cx:pt>
          <cx:pt idx="8">55-59 Years</cx:pt>
          <cx:pt idx="9">60-64 Years</cx:pt>
          <cx:pt idx="10">Over 65 Years</cx:pt>
          <cx:pt idx="11">Total</cx:pt>
        </cx:lvl>
      </cx:strDim>
      <cx:numDim type="val">
        <cx:f>rates!$C$22:$C$33</cx:f>
        <cx:lvl ptCount="12" formatCode="General">
          <cx:pt idx="0">71.799999999999997</cx:pt>
          <cx:pt idx="1">18</cx:pt>
          <cx:pt idx="2">14.199999999999999</cx:pt>
          <cx:pt idx="3">16.899999999999999</cx:pt>
          <cx:pt idx="4">9.1999999999999993</cx:pt>
          <cx:pt idx="5">7.5999999999999996</cx:pt>
          <cx:pt idx="6">12.699999999999999</cx:pt>
          <cx:pt idx="7">11.5</cx:pt>
          <cx:pt idx="8">8</cx:pt>
          <cx:pt idx="9">12.300000000000001</cx:pt>
          <cx:pt idx="10">22.100000000000001</cx:pt>
          <cx:pt idx="11">14.1</cx:pt>
        </cx:lvl>
      </cx:numDim>
    </cx:data>
  </cx:chartData>
  <cx:chart>
    <cx:title pos="t" align="ctr" overlay="0">
      <cx:tx>
        <cx:txData>
          <cx:v>Unemployment Rate Qtr. 1, 2025</cx:v>
        </cx:txData>
      </cx:tx>
      <cx:txPr>
        <a:bodyPr spcFirstLastPara="1" vertOverflow="ellipsis" horzOverflow="overflow" wrap="square" lIns="0" tIns="0" rIns="0" bIns="0" anchor="ctr" anchorCtr="1"/>
        <a:lstStyle/>
        <a:p>
          <a:pPr algn="ctr" rtl="0">
            <a:defRPr/>
          </a:pPr>
          <a:r>
            <a:rPr lang="en-US" sz="1400" b="1" i="0" u="none" strike="noStrike" baseline="0">
              <a:solidFill>
                <a:sysClr val="windowText" lastClr="000000"/>
              </a:solidFill>
              <a:latin typeface="Times New Roman" panose="02020603050405020304" pitchFamily="18" charset="0"/>
              <a:cs typeface="Times New Roman" panose="02020603050405020304" pitchFamily="18" charset="0"/>
            </a:rPr>
            <a:t>Unemployment Rate Qtr. 1, 2025</a:t>
          </a:r>
        </a:p>
      </cx:txPr>
    </cx:title>
    <cx:plotArea>
      <cx:plotAreaRegion>
        <cx:series layoutId="funnel" uniqueId="{7C6DC0DF-D438-4F23-80CA-711D0D97400A}">
          <cx:tx>
            <cx:txData>
              <cx:f>rates!$C$21</cx:f>
              <cx:v>Unemployment Rate</cx:v>
            </cx:txData>
          </cx:tx>
          <cx:dataLabels>
            <cx:visibility seriesName="0" categoryName="0" value="1"/>
          </cx:dataLabels>
          <cx:dataId val="0"/>
        </cx:series>
      </cx:plotAreaRegion>
      <cx:axis id="0">
        <cx:catScaling gapWidth="0.150000006"/>
        <cx:tickLabels/>
        <cx:txPr>
          <a:bodyPr spcFirstLastPara="1" vertOverflow="ellipsis" horzOverflow="overflow" wrap="square" lIns="0" tIns="0" rIns="0" bIns="0" anchor="ctr" anchorCtr="1"/>
          <a:lstStyle/>
          <a:p>
            <a:pPr algn="ctr" rtl="0">
              <a:defRPr b="1">
                <a:solidFill>
                  <a:sysClr val="windowText" lastClr="000000"/>
                </a:solidFill>
              </a:defRPr>
            </a:pPr>
            <a:endParaRPr lang="en-US" sz="900" b="1" i="0" u="none" strike="noStrike" baseline="0">
              <a:solidFill>
                <a:sysClr val="windowText" lastClr="000000"/>
              </a:solidFill>
              <a:latin typeface="Calibri" panose="020F0502020204030204"/>
            </a:endParaRPr>
          </a:p>
        </cx:txPr>
      </cx:axis>
    </cx:plotArea>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rates!$B$4:$B$15</cx:f>
        <cx:lvl ptCount="12">
          <cx:pt idx="0">15-19 Years</cx:pt>
          <cx:pt idx="1">20-24 Years</cx:pt>
          <cx:pt idx="2">25-29 Years</cx:pt>
          <cx:pt idx="3">30-34 Years</cx:pt>
          <cx:pt idx="4">35-39 Years</cx:pt>
          <cx:pt idx="5">40-44 Years</cx:pt>
          <cx:pt idx="6">45-49 Years</cx:pt>
          <cx:pt idx="7">50-54 Years</cx:pt>
          <cx:pt idx="8">55-59 Years</cx:pt>
          <cx:pt idx="9">60-64 Years</cx:pt>
          <cx:pt idx="10">Over 65 Years</cx:pt>
          <cx:pt idx="11">Total</cx:pt>
        </cx:lvl>
      </cx:strDim>
      <cx:numDim type="val">
        <cx:f>rates!$C$4:$C$15</cx:f>
        <cx:lvl ptCount="12" formatCode="General">
          <cx:pt idx="0">26.399999999999999</cx:pt>
          <cx:pt idx="1">82.900000000000006</cx:pt>
          <cx:pt idx="2">98.400000000000006</cx:pt>
          <cx:pt idx="3">91.599999999999994</cx:pt>
          <cx:pt idx="4">93.700000000000003</cx:pt>
          <cx:pt idx="5">96.799999999999997</cx:pt>
          <cx:pt idx="6">96.900000000000006</cx:pt>
          <cx:pt idx="7">94.200000000000003</cx:pt>
          <cx:pt idx="8">82.200000000000003</cx:pt>
          <cx:pt idx="9">75.400000000000006</cx:pt>
          <cx:pt idx="10">21.300000000000001</cx:pt>
          <cx:pt idx="11">71.400000000000006</cx:pt>
        </cx:lvl>
      </cx:numDim>
    </cx:data>
    <cx:data id="1">
      <cx:strDim type="cat">
        <cx:f>rates!$B$4:$B$15</cx:f>
        <cx:lvl ptCount="12">
          <cx:pt idx="0">15-19 Years</cx:pt>
          <cx:pt idx="1">20-24 Years</cx:pt>
          <cx:pt idx="2">25-29 Years</cx:pt>
          <cx:pt idx="3">30-34 Years</cx:pt>
          <cx:pt idx="4">35-39 Years</cx:pt>
          <cx:pt idx="5">40-44 Years</cx:pt>
          <cx:pt idx="6">45-49 Years</cx:pt>
          <cx:pt idx="7">50-54 Years</cx:pt>
          <cx:pt idx="8">55-59 Years</cx:pt>
          <cx:pt idx="9">60-64 Years</cx:pt>
          <cx:pt idx="10">Over 65 Years</cx:pt>
          <cx:pt idx="11">Total</cx:pt>
        </cx:lvl>
      </cx:strDim>
      <cx:numDim type="val">
        <cx:f>rates!$D$4:$D$15</cx:f>
        <cx:lvl ptCount="12" formatCode="General">
          <cx:pt idx="0">71.799999999999997</cx:pt>
          <cx:pt idx="1">18</cx:pt>
          <cx:pt idx="2">14.199999999999999</cx:pt>
          <cx:pt idx="3">16.899999999999999</cx:pt>
          <cx:pt idx="4">9.1999999999999993</cx:pt>
          <cx:pt idx="5">7.5999999999999996</cx:pt>
          <cx:pt idx="6">12.699999999999999</cx:pt>
          <cx:pt idx="7">11.5</cx:pt>
          <cx:pt idx="8">8</cx:pt>
          <cx:pt idx="9">12.300000000000001</cx:pt>
          <cx:pt idx="10">22.100000000000001</cx:pt>
          <cx:pt idx="11">14.1</cx:pt>
        </cx:lvl>
      </cx:numDim>
    </cx:data>
    <cx:data id="2">
      <cx:strDim type="cat">
        <cx:f>rates!$B$4:$B$15</cx:f>
        <cx:lvl ptCount="12">
          <cx:pt idx="0">15-19 Years</cx:pt>
          <cx:pt idx="1">20-24 Years</cx:pt>
          <cx:pt idx="2">25-29 Years</cx:pt>
          <cx:pt idx="3">30-34 Years</cx:pt>
          <cx:pt idx="4">35-39 Years</cx:pt>
          <cx:pt idx="5">40-44 Years</cx:pt>
          <cx:pt idx="6">45-49 Years</cx:pt>
          <cx:pt idx="7">50-54 Years</cx:pt>
          <cx:pt idx="8">55-59 Years</cx:pt>
          <cx:pt idx="9">60-64 Years</cx:pt>
          <cx:pt idx="10">Over 65 Years</cx:pt>
          <cx:pt idx="11">Total</cx:pt>
        </cx:lvl>
      </cx:strDim>
      <cx:numDim type="val">
        <cx:f>rates!$E$4:$E$15</cx:f>
        <cx:lvl ptCount="12" formatCode="General">
          <cx:pt idx="0">28.199999999999999</cx:pt>
          <cx:pt idx="1">82</cx:pt>
          <cx:pt idx="2">85.799999999999997</cx:pt>
          <cx:pt idx="3">83.099999999999994</cx:pt>
          <cx:pt idx="4">90.799999999999997</cx:pt>
          <cx:pt idx="5">92.400000000000006</cx:pt>
          <cx:pt idx="6">87.299999999999997</cx:pt>
          <cx:pt idx="7">88.5</cx:pt>
          <cx:pt idx="8">92</cx:pt>
          <cx:pt idx="9">87.700000000000003</cx:pt>
          <cx:pt idx="10">77.900000000000006</cx:pt>
          <cx:pt idx="11">85.900000000000006</cx:pt>
        </cx:lvl>
      </cx:numDim>
    </cx:data>
  </cx:chartData>
  <cx:chart>
    <cx:title pos="t" align="ctr" overlay="0">
      <cx:tx>
        <cx:txData>
          <cx:v>Labour Force Participation Rate Qtr.1, 2025</cx:v>
        </cx:txData>
      </cx:tx>
      <cx:txPr>
        <a:bodyPr spcFirstLastPara="1" vertOverflow="ellipsis" horzOverflow="overflow" wrap="square" lIns="0" tIns="0" rIns="0" bIns="0" anchor="ctr" anchorCtr="1"/>
        <a:lstStyle/>
        <a:p>
          <a:pPr algn="ctr" rtl="0">
            <a:defRPr/>
          </a:pPr>
          <a:r>
            <a:rPr lang="en-US" sz="1800" b="1" i="0" u="none" strike="noStrike" baseline="0">
              <a:solidFill>
                <a:sysClr val="windowText" lastClr="000000">
                  <a:lumMod val="75000"/>
                  <a:lumOff val="25000"/>
                </a:sysClr>
              </a:solidFill>
              <a:latin typeface="Calibri" panose="020F0502020204030204"/>
            </a:rPr>
            <a:t>Labour Force Participation Rate Qtr.1, 2025</a:t>
          </a:r>
        </a:p>
      </cx:txPr>
    </cx:title>
    <cx:plotArea>
      <cx:plotAreaRegion>
        <cx:series layoutId="funnel" uniqueId="{C5B3E729-0346-439A-BC70-275902D68A11}" formatIdx="0">
          <cx:tx>
            <cx:txData>
              <cx:f>rates!$C$3</cx:f>
              <cx:v>Labour Force Participation Rate</cx:v>
            </cx:txData>
          </cx:tx>
          <cx:dataLabels>
            <cx:visibility seriesName="0" categoryName="0" value="1"/>
          </cx:dataLabels>
          <cx:dataId val="0"/>
        </cx:series>
        <cx:series layoutId="funnel" hidden="1" uniqueId="{65692E15-C5FB-4FD5-9366-E42833934DAC}" formatIdx="1">
          <cx:tx>
            <cx:txData>
              <cx:f>rates!$D$3</cx:f>
              <cx:v>Unemployment Rate</cx:v>
            </cx:txData>
          </cx:tx>
          <cx:dataLabels>
            <cx:visibility seriesName="0" categoryName="0" value="1"/>
          </cx:dataLabels>
          <cx:dataId val="1"/>
        </cx:series>
        <cx:series layoutId="funnel" hidden="1" uniqueId="{AF0D9799-9A8E-4130-9A0D-F66F7787A933}" formatIdx="2">
          <cx:tx>
            <cx:txData>
              <cx:f>rates!$E$3</cx:f>
              <cx:v>Employment Rate</cx:v>
            </cx:txData>
          </cx:tx>
          <cx:dataLabels>
            <cx:visibility seriesName="0" categoryName="0" value="1"/>
          </cx:dataLabels>
          <cx:dataId val="2"/>
        </cx:series>
      </cx:plotAreaRegion>
      <cx:axis id="0">
        <cx:catScaling gapWidth="0.150000006"/>
        <cx:tickLabels/>
        <cx:txPr>
          <a:bodyPr spcFirstLastPara="1" vertOverflow="ellipsis" horzOverflow="overflow" wrap="square" lIns="0" tIns="0" rIns="0" bIns="0" anchor="ctr" anchorCtr="1"/>
          <a:lstStyle/>
          <a:p>
            <a:pPr algn="ctr" rtl="0">
              <a:defRPr b="1">
                <a:solidFill>
                  <a:sysClr val="windowText" lastClr="000000"/>
                </a:solidFill>
              </a:defRPr>
            </a:pPr>
            <a:endParaRPr lang="en-US" sz="900" b="1" i="0" u="none" strike="noStrike" baseline="0">
              <a:solidFill>
                <a:sysClr val="windowText" lastClr="000000"/>
              </a:solidFill>
              <a:latin typeface="Calibri" panose="020F0502020204030204"/>
            </a:endParaRPr>
          </a:p>
        </cx:txPr>
      </cx:axis>
    </cx:plotArea>
  </cx:chart>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districts!$B$10:$B$21</cx:f>
        <cx:nf>districts!$B$9</cx:nf>
        <cx:lvl ptCount="12" name="District of Residence">
          <cx:pt idx="2">CASTRIES CITY</cx:pt>
          <cx:pt idx="3">ANSE-LA-RAYE</cx:pt>
          <cx:pt idx="4">SOUFRIERE</cx:pt>
          <cx:pt idx="5">CHOISEUL</cx:pt>
          <cx:pt idx="6">LABORIE</cx:pt>
          <cx:pt idx="7">VIEUX-FORT</cx:pt>
          <cx:pt idx="8">MICOUD</cx:pt>
          <cx:pt idx="9">DENNERY</cx:pt>
          <cx:pt idx="10">GROS-ISLET</cx:pt>
        </cx:lvl>
      </cx:strDim>
      <cx:numDim type="colorVal">
        <cx:f>districts!$C$10:$C$21</cx:f>
        <cx:lvl ptCount="12" formatCode="General">
          <cx:pt idx="2">0.30110015721435557</cx:pt>
          <cx:pt idx="3">0.15124258805505625</cx:pt>
          <cx:pt idx="4">0.080308030803080327</cx:pt>
          <cx:pt idx="5">0.27652742424084581</cx:pt>
          <cx:pt idx="6">0.11286991764434702</cx:pt>
          <cx:pt idx="7">0.11591395984885199</cx:pt>
          <cx:pt idx="8">0.19937613089011488</cx:pt>
          <cx:pt idx="9">0.10948908519363555</cx:pt>
          <cx:pt idx="10">0.073459881228127785</cx:pt>
        </cx:lvl>
      </cx:numDim>
    </cx:data>
  </cx:chartData>
  <cx:chart>
    <cx:title pos="t" align="ctr" overlay="0">
      <cx:tx>
        <cx:txData>
          <cx:v>UNEMPLOYED LABOUR FORCE RATES BY DISTRICT OF RESIDENCE 1st Qtr 2025</cx:v>
        </cx:txData>
      </cx:tx>
      <cx:txPr>
        <a:bodyPr spcFirstLastPara="1" vertOverflow="ellipsis" horzOverflow="overflow" wrap="square" lIns="0" tIns="0" rIns="0" bIns="0" anchor="ctr" anchorCtr="1"/>
        <a:lstStyle/>
        <a:p>
          <a:pPr algn="ctr" rtl="0">
            <a:defRPr/>
          </a:pPr>
          <a:r>
            <a:rPr lang="en-US" sz="1400" b="1" i="0" u="none" strike="noStrike" baseline="0">
              <a:solidFill>
                <a:sysClr val="window" lastClr="FFFFFF">
                  <a:lumMod val="95000"/>
                </a:sysClr>
              </a:solidFill>
              <a:latin typeface="Times New Roman" panose="02020603050405020304" pitchFamily="18" charset="0"/>
              <a:cs typeface="Times New Roman" panose="02020603050405020304" pitchFamily="18" charset="0"/>
            </a:rPr>
            <a:t>UNEMPLOYED LABOUR FORCE RATES BY DISTRICT OF RESIDENCE 1st Qtr 2025</a:t>
          </a:r>
        </a:p>
      </cx:txPr>
    </cx:title>
    <cx:plotArea>
      <cx:plotAreaRegion>
        <cx:series layoutId="regionMap" uniqueId="{DEA43BA6-598B-453F-B3FF-0B9F720BFAB0}">
          <cx:tx>
            <cx:txData>
              <cx:f>districts!$C$9</cx:f>
              <cx:v>Total %</cx:v>
            </cx:txData>
          </cx:tx>
          <cx:dataLabels>
            <cx:txPr>
              <a:bodyPr spcFirstLastPara="1" vertOverflow="ellipsis" horzOverflow="overflow" wrap="square" lIns="0" tIns="0" rIns="0" bIns="0" anchor="ctr" anchorCtr="1"/>
              <a:lstStyle/>
              <a:p>
                <a:pPr algn="ctr" rtl="0">
                  <a:defRPr b="1">
                    <a:solidFill>
                      <a:srgbClr val="C00000"/>
                    </a:solidFill>
                  </a:defRPr>
                </a:pPr>
                <a:endParaRPr lang="en-US" sz="850" b="1" i="0" u="none" strike="noStrike" baseline="0">
                  <a:solidFill>
                    <a:srgbClr val="C00000"/>
                  </a:solidFill>
                  <a:latin typeface="Calibri" panose="020F0502020204030204"/>
                </a:endParaRPr>
              </a:p>
            </cx:txPr>
            <cx:visibility seriesName="0" categoryName="0" value="1"/>
          </cx:dataLabels>
          <cx:dataId val="0"/>
          <cx:layoutPr>
            <cx:geography cultureLanguage="en-US" cultureRegion="LC" attribution="Powered by Bing">
              <cx:geoCache provider="{E9337A44-BEBE-4D9F-B70C-5C5E7DAFC167}">
                <cx:binary>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</cx:binary>
              </cx:geoCache>
            </cx:geography>
          </cx:layoutPr>
        </cx:series>
      </cx:plotAreaRegion>
    </cx:plotArea>
    <cx:legend pos="r"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49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solidFill>
        <a:schemeClr val="dk1"/>
      </a:solidFill>
    </cs:spPr>
    <cs:defRPr sz="1000"/>
  </cs:chartArea>
  <cs:dataLabel>
    <cs:lnRef idx="0"/>
    <cs:fillRef idx="0"/>
    <cs:effectRef idx="0"/>
    <cs:fontRef idx="minor">
      <a:schemeClr val="lt1">
        <a:lumMod val="9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solidFill>
        <a:schemeClr val="phClr"/>
      </a:solidFill>
      <a:ln w="3175">
        <a:solidFill>
          <a:schemeClr val="dk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30000"/>
          </a:schemeClr>
        </a:solidFill>
        <a:round/>
      </a:ln>
    </cs:spPr>
  </cs:gridlineMajor>
  <cs:gridlineMinor>
    <cs:lnRef idx="0"/>
    <cs:fillRef idx="0"/>
    <cs:effectRef idx="0"/>
    <cs:fontRef idx="minor">
      <a:schemeClr val="lt1"/>
    </cs:fontRef>
    <cs:spPr>
      <a:ln>
        <a:solidFill>
          <a:schemeClr val="lt1">
            <a:lumMod val="95000"/>
            <a:alpha val="3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400"/>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55378-9889-439A-98D8-BD17970B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2566</Words>
  <Characters>14629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urmain gray</dc:creator>
  <cp:keywords/>
  <dc:description/>
  <cp:lastModifiedBy>martha joseph</cp:lastModifiedBy>
  <cp:revision>5</cp:revision>
  <cp:lastPrinted>2025-06-25T19:07:00Z</cp:lastPrinted>
  <dcterms:created xsi:type="dcterms:W3CDTF">2025-06-25T19:07:00Z</dcterms:created>
  <dcterms:modified xsi:type="dcterms:W3CDTF">2025-07-10T19:12:00Z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cde2284dbd995e25291af6d5d1782a4b0c4b814adf833e2585c7ecd32f5a2403</vt:lpwstr>
  </property>
</Properties>
</file>